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120" w:lineRule="auto"/>
        <w:ind w:left="0" w:right="-40.8661417322827" w:firstLine="0"/>
        <w:jc w:val="center"/>
        <w:rPr>
          <w:sz w:val="36"/>
          <w:szCs w:val="36"/>
        </w:rPr>
      </w:pPr>
      <w:bookmarkStart w:colFirst="0" w:colLast="0" w:name="_gjdgxs" w:id="0"/>
      <w:bookmarkEnd w:id="0"/>
      <w:r w:rsidDel="00000000" w:rsidR="00000000" w:rsidRPr="00000000">
        <w:rPr>
          <w:sz w:val="36"/>
          <w:szCs w:val="36"/>
          <w:rtl w:val="0"/>
        </w:rPr>
        <w:t xml:space="preserve">Argumentaire EDS</w:t>
      </w:r>
    </w:p>
    <w:p w:rsidR="00000000" w:rsidDel="00000000" w:rsidP="00000000" w:rsidRDefault="00000000" w:rsidRPr="00000000" w14:paraId="00000002">
      <w:pPr>
        <w:ind w:right="-40.8661417322827"/>
        <w:jc w:val="center"/>
        <w:rPr>
          <w:rFonts w:ascii="Tahoma" w:cs="Tahoma" w:eastAsia="Tahoma" w:hAnsi="Tahoma"/>
        </w:rPr>
      </w:pPr>
      <w:r w:rsidDel="00000000" w:rsidR="00000000" w:rsidRPr="00000000">
        <w:rPr>
          <w:rFonts w:ascii="Tahoma" w:cs="Tahoma" w:eastAsia="Tahoma" w:hAnsi="Tahoma"/>
          <w:b w:val="1"/>
          <w:bCs w:val="1"/>
          <w:color w:val="036287"/>
          <w:sz w:val="34"/>
          <w:szCs w:val="34"/>
          <w:rtl w:val="0"/>
        </w:rPr>
        <w:t xml:space="preserve">&lt; nom de l’EDS &gt;</w:t>
      </w:r>
      <w:r w:rsidDel="00000000" w:rsidR="00000000" w:rsidRPr="00000000">
        <w:rPr>
          <w:rtl w:val="0"/>
        </w:rPr>
      </w:r>
    </w:p>
    <w:p w:rsidR="00000000" w:rsidDel="00000000" w:rsidP="00000000" w:rsidRDefault="00000000" w:rsidRPr="00000000" w14:paraId="0000000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0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0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06">
      <w:pPr>
        <w:pStyle w:val="Heading1"/>
        <w:spacing w:after="0" w:lineRule="auto"/>
        <w:ind w:left="0" w:right="-40.8661417322827" w:firstLine="0"/>
        <w:rPr>
          <w:b w:val="0"/>
          <w:bCs w:val="0"/>
          <w:sz w:val="28"/>
          <w:szCs w:val="28"/>
        </w:rPr>
      </w:pPr>
      <w:bookmarkStart w:colFirst="0" w:colLast="0" w:name="_jwazuo8pbrsg" w:id="1"/>
      <w:bookmarkEnd w:id="1"/>
      <w:r w:rsidDel="00000000" w:rsidR="00000000" w:rsidRPr="00000000">
        <w:rPr>
          <w:b w:val="0"/>
          <w:bCs w:val="0"/>
          <w:sz w:val="28"/>
          <w:szCs w:val="28"/>
          <w:rtl w:val="0"/>
        </w:rPr>
        <w:t xml:space="preserve">Sommaire</w:t>
      </w:r>
    </w:p>
    <w:sdt>
      <w:sdtPr>
        <w:id w:val="-597983938"/>
        <w:docPartObj>
          <w:docPartGallery w:val="Table of Contents"/>
          <w:docPartUnique w:val="1"/>
        </w:docPartObj>
      </w:sdtPr>
      <w:sdtContent>
        <w:p w:rsidR="00000000" w:rsidDel="00000000" w:rsidP="00000000" w:rsidRDefault="00000000" w:rsidRPr="00000000" w14:paraId="00000007">
          <w:pPr>
            <w:widowControl w:val="0"/>
            <w:tabs>
              <w:tab w:val="right" w:leader="none" w:pos="12000"/>
            </w:tabs>
            <w:spacing w:before="60" w:line="240" w:lineRule="auto"/>
            <w:rPr>
              <w:rFonts w:ascii="Tahoma" w:cs="Tahoma" w:eastAsia="Tahoma" w:hAnsi="Tahoma"/>
              <w:b w:val="1"/>
              <w:bCs w:val="1"/>
            </w:rPr>
          </w:pPr>
          <w:r w:rsidDel="00000000" w:rsidR="00000000" w:rsidRPr="00000000">
            <w:fldChar w:fldCharType="begin"/>
            <w:instrText xml:space="preserve"> TOC \h \u \z \t "Heading 1,1,Heading 2,2,Heading 3,3,Heading 4,4,Heading 5,5,Heading 6,6,"</w:instrText>
            <w:fldChar w:fldCharType="separate"/>
          </w:r>
          <w:hyperlink w:anchor="_gjdgxs">
            <w:r w:rsidDel="00000000" w:rsidR="00000000" w:rsidRPr="00000000">
              <w:rPr>
                <w:rFonts w:ascii="Tahoma" w:cs="Tahoma" w:eastAsia="Tahoma" w:hAnsi="Tahoma"/>
                <w:b w:val="1"/>
                <w:bCs w:val="1"/>
                <w:rtl w:val="0"/>
              </w:rPr>
              <w:t xml:space="preserve">Argumentaire EDS</w:t>
              <w:tab/>
              <w:t xml:space="preserve">1</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rPr>
              <w:rFonts w:ascii="Tahoma" w:cs="Tahoma" w:eastAsia="Tahoma" w:hAnsi="Tahoma"/>
              <w:b w:val="1"/>
              <w:bCs w:val="1"/>
            </w:rPr>
          </w:pPr>
          <w:hyperlink w:anchor="_jwazuo8pbrsg">
            <w:r w:rsidDel="00000000" w:rsidR="00000000" w:rsidRPr="00000000">
              <w:rPr>
                <w:rFonts w:ascii="Tahoma" w:cs="Tahoma" w:eastAsia="Tahoma" w:hAnsi="Tahoma"/>
                <w:b w:val="1"/>
                <w:bCs w:val="1"/>
                <w:color w:val="036287"/>
                <w:rtl w:val="0"/>
              </w:rPr>
              <w:t xml:space="preserve">Sommaire</w:t>
              <w:tab/>
              <w:t xml:space="preserve">1</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rPr>
              <w:rFonts w:ascii="Tahoma" w:cs="Tahoma" w:eastAsia="Tahoma" w:hAnsi="Tahoma"/>
              <w:b w:val="1"/>
              <w:bCs w:val="1"/>
            </w:rPr>
          </w:pPr>
          <w:hyperlink w:anchor="_l0mcy8m2ijoa">
            <w:r w:rsidDel="00000000" w:rsidR="00000000" w:rsidRPr="00000000">
              <w:rPr>
                <w:rFonts w:ascii="Tahoma" w:cs="Tahoma" w:eastAsia="Tahoma" w:hAnsi="Tahoma"/>
                <w:b w:val="1"/>
                <w:bCs w:val="1"/>
                <w:color w:val="036287"/>
                <w:rtl w:val="0"/>
              </w:rPr>
              <w:t xml:space="preserve">1. Rôles et responsabilités</w:t>
              <w:tab/>
              <w:t xml:space="preserve">1</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ind w:left="360" w:firstLine="0"/>
            <w:rPr>
              <w:rFonts w:ascii="Tahoma" w:cs="Tahoma" w:eastAsia="Tahoma" w:hAnsi="Tahoma"/>
            </w:rPr>
          </w:pPr>
          <w:hyperlink w:anchor="_3znysh7">
            <w:r w:rsidDel="00000000" w:rsidR="00000000" w:rsidRPr="00000000">
              <w:rPr>
                <w:rFonts w:ascii="Tahoma" w:cs="Tahoma" w:eastAsia="Tahoma" w:hAnsi="Tahoma"/>
                <w:color w:val="036287"/>
                <w:rtl w:val="0"/>
              </w:rPr>
              <w:t xml:space="preserve">1.1. Parties prenantes du projet</w:t>
              <w:tab/>
              <w:t xml:space="preserve">2</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ind w:left="360" w:firstLine="0"/>
            <w:rPr>
              <w:rFonts w:ascii="Tahoma" w:cs="Tahoma" w:eastAsia="Tahoma" w:hAnsi="Tahoma"/>
            </w:rPr>
          </w:pPr>
          <w:hyperlink w:anchor="_gdwcxkj11bsu">
            <w:r w:rsidDel="00000000" w:rsidR="00000000" w:rsidRPr="00000000">
              <w:rPr>
                <w:rFonts w:ascii="Tahoma" w:cs="Tahoma" w:eastAsia="Tahoma" w:hAnsi="Tahoma"/>
                <w:color w:val="036287"/>
                <w:rtl w:val="0"/>
              </w:rPr>
              <w:t xml:space="preserve">1.2. Qualification des parties au sens du RGPD</w:t>
              <w:tab/>
              <w:t xml:space="preserve">3</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ind w:left="720" w:firstLine="0"/>
            <w:rPr>
              <w:rFonts w:ascii="Tahoma" w:cs="Tahoma" w:eastAsia="Tahoma" w:hAnsi="Tahoma"/>
            </w:rPr>
          </w:pPr>
          <w:hyperlink w:anchor="_l15fgesb59eg">
            <w:r w:rsidDel="00000000" w:rsidR="00000000" w:rsidRPr="00000000">
              <w:rPr>
                <w:rFonts w:ascii="Tahoma" w:cs="Tahoma" w:eastAsia="Tahoma" w:hAnsi="Tahoma"/>
                <w:color w:val="036287"/>
                <w:rtl w:val="0"/>
              </w:rPr>
              <w:t xml:space="preserve">1.2.1. Responsable de traitement de l’entrepôt</w:t>
              <w:tab/>
              <w:t xml:space="preserve">3</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720" w:firstLine="0"/>
            <w:rPr>
              <w:rFonts w:ascii="Tahoma" w:cs="Tahoma" w:eastAsia="Tahoma" w:hAnsi="Tahoma"/>
            </w:rPr>
          </w:pPr>
          <w:hyperlink w:anchor="_l0olcyho8by6">
            <w:r w:rsidDel="00000000" w:rsidR="00000000" w:rsidRPr="00000000">
              <w:rPr>
                <w:rFonts w:ascii="Tahoma" w:cs="Tahoma" w:eastAsia="Tahoma" w:hAnsi="Tahoma"/>
                <w:color w:val="036287"/>
                <w:rtl w:val="0"/>
              </w:rPr>
              <w:t xml:space="preserve">1.2.2. Sous-traitants de l’entrepôt</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Tahoma" w:cs="Tahoma" w:eastAsia="Tahoma" w:hAnsi="Tahoma"/>
            </w:rPr>
          </w:pPr>
          <w:hyperlink w:anchor="_8zq9wp5k8nzn">
            <w:r w:rsidDel="00000000" w:rsidR="00000000" w:rsidRPr="00000000">
              <w:rPr>
                <w:rFonts w:ascii="Tahoma" w:cs="Tahoma" w:eastAsia="Tahoma" w:hAnsi="Tahoma"/>
                <w:color w:val="036287"/>
                <w:rtl w:val="0"/>
              </w:rPr>
              <w:t xml:space="preserve">1.3. Destinataires et catégories de destinataires</w:t>
              <w:tab/>
              <w:t xml:space="preserve">5</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Tahoma" w:cs="Tahoma" w:eastAsia="Tahoma" w:hAnsi="Tahoma"/>
            </w:rPr>
          </w:pPr>
          <w:hyperlink w:anchor="_3dy6vkm">
            <w:r w:rsidDel="00000000" w:rsidR="00000000" w:rsidRPr="00000000">
              <w:rPr>
                <w:rFonts w:ascii="Tahoma" w:cs="Tahoma" w:eastAsia="Tahoma" w:hAnsi="Tahoma"/>
                <w:color w:val="036287"/>
                <w:rtl w:val="0"/>
              </w:rPr>
              <w:t xml:space="preserve">1.4. Gouvernance</w:t>
              <w:tab/>
              <w:t xml:space="preserve">5</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Tahoma" w:cs="Tahoma" w:eastAsia="Tahoma" w:hAnsi="Tahoma"/>
              <w:b w:val="1"/>
              <w:bCs w:val="1"/>
            </w:rPr>
          </w:pPr>
          <w:hyperlink w:anchor="_gfgy181t7uwx">
            <w:r w:rsidDel="00000000" w:rsidR="00000000" w:rsidRPr="00000000">
              <w:rPr>
                <w:rFonts w:ascii="Tahoma" w:cs="Tahoma" w:eastAsia="Tahoma" w:hAnsi="Tahoma"/>
                <w:b w:val="1"/>
                <w:bCs w:val="1"/>
                <w:color w:val="036287"/>
                <w:rtl w:val="0"/>
              </w:rPr>
              <w:t xml:space="preserve">2. Objectifs et finalités</w:t>
              <w:tab/>
              <w:t xml:space="preserve">7</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Tahoma" w:cs="Tahoma" w:eastAsia="Tahoma" w:hAnsi="Tahoma"/>
            </w:rPr>
          </w:pPr>
          <w:hyperlink w:anchor="_4j6hkh5a3c3">
            <w:r w:rsidDel="00000000" w:rsidR="00000000" w:rsidRPr="00000000">
              <w:rPr>
                <w:rFonts w:ascii="Tahoma" w:cs="Tahoma" w:eastAsia="Tahoma" w:hAnsi="Tahoma"/>
                <w:color w:val="036287"/>
                <w:rtl w:val="0"/>
              </w:rPr>
              <w:t xml:space="preserve">2.1. Contexte, objectifs et justification de l’EDS</w:t>
              <w:tab/>
              <w:t xml:space="preserve">7</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Tahoma" w:cs="Tahoma" w:eastAsia="Tahoma" w:hAnsi="Tahoma"/>
            </w:rPr>
          </w:pPr>
          <w:hyperlink w:anchor="_vt0faay3fre8">
            <w:r w:rsidDel="00000000" w:rsidR="00000000" w:rsidRPr="00000000">
              <w:rPr>
                <w:rFonts w:ascii="Tahoma" w:cs="Tahoma" w:eastAsia="Tahoma" w:hAnsi="Tahoma"/>
                <w:color w:val="036287"/>
                <w:rtl w:val="0"/>
              </w:rPr>
              <w:t xml:space="preserve">2.2. Base légale et justification de l’intérêt public</w:t>
              <w:tab/>
              <w:t xml:space="preserve">8</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720" w:firstLine="0"/>
            <w:rPr>
              <w:rFonts w:ascii="Tahoma" w:cs="Tahoma" w:eastAsia="Tahoma" w:hAnsi="Tahoma"/>
            </w:rPr>
          </w:pPr>
          <w:hyperlink w:anchor="_jcdtvegx7j1i">
            <w:r w:rsidDel="00000000" w:rsidR="00000000" w:rsidRPr="00000000">
              <w:rPr>
                <w:rFonts w:ascii="Tahoma" w:cs="Tahoma" w:eastAsia="Tahoma" w:hAnsi="Tahoma"/>
                <w:color w:val="036287"/>
                <w:rtl w:val="0"/>
              </w:rPr>
              <w:t xml:space="preserve">2.2.1. Base légale du traitement de mise en oeuvre de l’EDS (article 6 du RGPD) et exception à l’interdiction de traiter des données de santé (article 9 du RGPD)</w:t>
              <w:tab/>
              <w:t xml:space="preserve">8</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720" w:firstLine="0"/>
            <w:rPr>
              <w:rFonts w:ascii="Tahoma" w:cs="Tahoma" w:eastAsia="Tahoma" w:hAnsi="Tahoma"/>
            </w:rPr>
          </w:pPr>
          <w:hyperlink w:anchor="_ixt3db17wdn9">
            <w:r w:rsidDel="00000000" w:rsidR="00000000" w:rsidRPr="00000000">
              <w:rPr>
                <w:rFonts w:ascii="Tahoma" w:cs="Tahoma" w:eastAsia="Tahoma" w:hAnsi="Tahoma"/>
                <w:color w:val="036287"/>
                <w:rtl w:val="0"/>
              </w:rPr>
              <w:t xml:space="preserve">2.2.2 Justification de l’intérêt public</w:t>
              <w:tab/>
              <w:t xml:space="preserve">8</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Tahoma" w:cs="Tahoma" w:eastAsia="Tahoma" w:hAnsi="Tahoma"/>
              <w:b w:val="1"/>
              <w:bCs w:val="1"/>
            </w:rPr>
          </w:pPr>
          <w:hyperlink w:anchor="_w6ym2aqled1a">
            <w:r w:rsidDel="00000000" w:rsidR="00000000" w:rsidRPr="00000000">
              <w:rPr>
                <w:rFonts w:ascii="Tahoma" w:cs="Tahoma" w:eastAsia="Tahoma" w:hAnsi="Tahoma"/>
                <w:b w:val="1"/>
                <w:bCs w:val="1"/>
                <w:color w:val="036287"/>
                <w:rtl w:val="0"/>
              </w:rPr>
              <w:t xml:space="preserve">3. Données traitées</w:t>
              <w:tab/>
              <w:t xml:space="preserve">10</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Tahoma" w:cs="Tahoma" w:eastAsia="Tahoma" w:hAnsi="Tahoma"/>
            </w:rPr>
          </w:pPr>
          <w:hyperlink w:anchor="_ow0p1wuouj68">
            <w:r w:rsidDel="00000000" w:rsidR="00000000" w:rsidRPr="00000000">
              <w:rPr>
                <w:rFonts w:ascii="Tahoma" w:cs="Tahoma" w:eastAsia="Tahoma" w:hAnsi="Tahoma"/>
                <w:color w:val="036287"/>
                <w:rtl w:val="0"/>
              </w:rPr>
              <w:t xml:space="preserve">3.1. Sources de données</w:t>
              <w:tab/>
              <w:t xml:space="preserve">10</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Tahoma" w:cs="Tahoma" w:eastAsia="Tahoma" w:hAnsi="Tahoma"/>
            </w:rPr>
          </w:pPr>
          <w:hyperlink w:anchor="_flk61er9q126">
            <w:r w:rsidDel="00000000" w:rsidR="00000000" w:rsidRPr="00000000">
              <w:rPr>
                <w:rFonts w:ascii="Tahoma" w:cs="Tahoma" w:eastAsia="Tahoma" w:hAnsi="Tahoma"/>
                <w:color w:val="036287"/>
                <w:rtl w:val="0"/>
              </w:rPr>
              <w:t xml:space="preserve">3.2. Population(s) concernée(s)</w:t>
              <w:tab/>
              <w:t xml:space="preserve">14</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rFonts w:ascii="Tahoma" w:cs="Tahoma" w:eastAsia="Tahoma" w:hAnsi="Tahoma"/>
            </w:rPr>
          </w:pPr>
          <w:hyperlink w:anchor="_65gel7ujx6r6">
            <w:r w:rsidDel="00000000" w:rsidR="00000000" w:rsidRPr="00000000">
              <w:rPr>
                <w:rFonts w:ascii="Tahoma" w:cs="Tahoma" w:eastAsia="Tahoma" w:hAnsi="Tahoma"/>
                <w:color w:val="036287"/>
                <w:rtl w:val="0"/>
              </w:rPr>
              <w:t xml:space="preserve">3.3. Catégories de données et variables</w:t>
              <w:tab/>
              <w:t xml:space="preserve">15</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rPr>
              <w:rFonts w:ascii="Tahoma" w:cs="Tahoma" w:eastAsia="Tahoma" w:hAnsi="Tahoma"/>
              <w:b w:val="1"/>
              <w:bCs w:val="1"/>
            </w:rPr>
          </w:pPr>
          <w:hyperlink w:anchor="_jgcsh0qnf17c">
            <w:r w:rsidDel="00000000" w:rsidR="00000000" w:rsidRPr="00000000">
              <w:rPr>
                <w:rFonts w:ascii="Tahoma" w:cs="Tahoma" w:eastAsia="Tahoma" w:hAnsi="Tahoma"/>
                <w:b w:val="1"/>
                <w:bCs w:val="1"/>
                <w:color w:val="036287"/>
                <w:rtl w:val="0"/>
              </w:rPr>
              <w:t xml:space="preserve">4. Cycle de vie de la donnée</w:t>
              <w:tab/>
              <w:t xml:space="preserve">17</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360" w:firstLine="0"/>
            <w:rPr>
              <w:rFonts w:ascii="Tahoma" w:cs="Tahoma" w:eastAsia="Tahoma" w:hAnsi="Tahoma"/>
            </w:rPr>
          </w:pPr>
          <w:hyperlink w:anchor="_zjcrhg4mnqf">
            <w:r w:rsidDel="00000000" w:rsidR="00000000" w:rsidRPr="00000000">
              <w:rPr>
                <w:rFonts w:ascii="Tahoma" w:cs="Tahoma" w:eastAsia="Tahoma" w:hAnsi="Tahoma"/>
                <w:color w:val="036287"/>
                <w:rtl w:val="0"/>
              </w:rPr>
              <w:t xml:space="preserve">4.1. Schéma de circulation de la donnée</w:t>
              <w:tab/>
              <w:t xml:space="preserve">17</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Tahoma" w:cs="Tahoma" w:eastAsia="Tahoma" w:hAnsi="Tahoma"/>
            </w:rPr>
          </w:pPr>
          <w:hyperlink w:anchor="_fstdnjwxgjkm">
            <w:r w:rsidDel="00000000" w:rsidR="00000000" w:rsidRPr="00000000">
              <w:rPr>
                <w:rFonts w:ascii="Tahoma" w:cs="Tahoma" w:eastAsia="Tahoma" w:hAnsi="Tahoma"/>
                <w:color w:val="036287"/>
                <w:rtl w:val="0"/>
              </w:rPr>
              <w:t xml:space="preserve">4.2. Opérations sur les données</w:t>
              <w:tab/>
              <w:t xml:space="preserve">18</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rFonts w:ascii="Tahoma" w:cs="Tahoma" w:eastAsia="Tahoma" w:hAnsi="Tahoma"/>
            </w:rPr>
          </w:pPr>
          <w:hyperlink w:anchor="_8zz2rh3wugi3">
            <w:r w:rsidDel="00000000" w:rsidR="00000000" w:rsidRPr="00000000">
              <w:rPr>
                <w:rFonts w:ascii="Tahoma" w:cs="Tahoma" w:eastAsia="Tahoma" w:hAnsi="Tahoma"/>
                <w:color w:val="036287"/>
                <w:rtl w:val="0"/>
              </w:rPr>
              <w:t xml:space="preserve">4.2.1. Extraction des données</w:t>
              <w:tab/>
              <w:t xml:space="preserve">18</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rFonts w:ascii="Tahoma" w:cs="Tahoma" w:eastAsia="Tahoma" w:hAnsi="Tahoma"/>
            </w:rPr>
          </w:pPr>
          <w:hyperlink w:anchor="_g6exvb3s3dev">
            <w:r w:rsidDel="00000000" w:rsidR="00000000" w:rsidRPr="00000000">
              <w:rPr>
                <w:rFonts w:ascii="Tahoma" w:cs="Tahoma" w:eastAsia="Tahoma" w:hAnsi="Tahoma"/>
                <w:color w:val="036287"/>
                <w:rtl w:val="0"/>
              </w:rPr>
              <w:t xml:space="preserve">4.2.2. Préparation et mise en qualité</w:t>
              <w:tab/>
              <w:t xml:space="preserve">18</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Tahoma" w:cs="Tahoma" w:eastAsia="Tahoma" w:hAnsi="Tahoma"/>
            </w:rPr>
          </w:pPr>
          <w:hyperlink w:anchor="_vnhhzin1iytd">
            <w:r w:rsidDel="00000000" w:rsidR="00000000" w:rsidRPr="00000000">
              <w:rPr>
                <w:rFonts w:ascii="Tahoma" w:cs="Tahoma" w:eastAsia="Tahoma" w:hAnsi="Tahoma"/>
                <w:color w:val="036287"/>
                <w:rtl w:val="0"/>
              </w:rPr>
              <w:t xml:space="preserve">4.2.3. Transfert des données des établissements vers le &lt; nom du responsable de traitement &gt;</w:t>
              <w:tab/>
              <w:t xml:space="preserve">18</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rFonts w:ascii="Tahoma" w:cs="Tahoma" w:eastAsia="Tahoma" w:hAnsi="Tahoma"/>
            </w:rPr>
          </w:pPr>
          <w:hyperlink w:anchor="_k7bci20dvxj">
            <w:r w:rsidDel="00000000" w:rsidR="00000000" w:rsidRPr="00000000">
              <w:rPr>
                <w:rFonts w:ascii="Tahoma" w:cs="Tahoma" w:eastAsia="Tahoma" w:hAnsi="Tahoma"/>
                <w:color w:val="036287"/>
                <w:rtl w:val="0"/>
              </w:rPr>
              <w:t xml:space="preserve">4.2.4. Extraction SNDS et transfert de la CNAM vers le &lt; nom du responsable de traitement &gt;</w:t>
              <w:tab/>
              <w:t xml:space="preserve">19</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720" w:firstLine="0"/>
            <w:rPr>
              <w:rFonts w:ascii="Tahoma" w:cs="Tahoma" w:eastAsia="Tahoma" w:hAnsi="Tahoma"/>
            </w:rPr>
          </w:pPr>
          <w:hyperlink w:anchor="_lsslqicdvjqs">
            <w:r w:rsidDel="00000000" w:rsidR="00000000" w:rsidRPr="00000000">
              <w:rPr>
                <w:rFonts w:ascii="Tahoma" w:cs="Tahoma" w:eastAsia="Tahoma" w:hAnsi="Tahoma"/>
                <w:color w:val="036287"/>
                <w:rtl w:val="0"/>
              </w:rPr>
              <w:t xml:space="preserve">4.2.5. Préparation de la base finale</w:t>
              <w:tab/>
              <w:t xml:space="preserve">21</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rFonts w:ascii="Tahoma" w:cs="Tahoma" w:eastAsia="Tahoma" w:hAnsi="Tahoma"/>
            </w:rPr>
          </w:pPr>
          <w:hyperlink w:anchor="_h921v3d8jc9z">
            <w:r w:rsidDel="00000000" w:rsidR="00000000" w:rsidRPr="00000000">
              <w:rPr>
                <w:rFonts w:ascii="Tahoma" w:cs="Tahoma" w:eastAsia="Tahoma" w:hAnsi="Tahoma"/>
                <w:color w:val="036287"/>
                <w:rtl w:val="0"/>
              </w:rPr>
              <w:t xml:space="preserve">4.3. Modalités techniques</w:t>
              <w:tab/>
              <w:t xml:space="preserve">21</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720" w:firstLine="0"/>
            <w:rPr>
              <w:rFonts w:ascii="Tahoma" w:cs="Tahoma" w:eastAsia="Tahoma" w:hAnsi="Tahoma"/>
            </w:rPr>
          </w:pPr>
          <w:hyperlink w:anchor="_izh9cpr2xug5">
            <w:r w:rsidDel="00000000" w:rsidR="00000000" w:rsidRPr="00000000">
              <w:rPr>
                <w:rFonts w:ascii="Tahoma" w:cs="Tahoma" w:eastAsia="Tahoma" w:hAnsi="Tahoma"/>
                <w:color w:val="036287"/>
                <w:rtl w:val="0"/>
              </w:rPr>
              <w:t xml:space="preserve">4.3.1. Transfert des données</w:t>
              <w:tab/>
              <w:t xml:space="preserve">21</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720" w:firstLine="0"/>
            <w:rPr>
              <w:rFonts w:ascii="Tahoma" w:cs="Tahoma" w:eastAsia="Tahoma" w:hAnsi="Tahoma"/>
            </w:rPr>
          </w:pPr>
          <w:hyperlink w:anchor="_9r0bx61o1mid">
            <w:r w:rsidDel="00000000" w:rsidR="00000000" w:rsidRPr="00000000">
              <w:rPr>
                <w:rFonts w:ascii="Tahoma" w:cs="Tahoma" w:eastAsia="Tahoma" w:hAnsi="Tahoma"/>
                <w:color w:val="036287"/>
                <w:rtl w:val="0"/>
              </w:rPr>
              <w:t xml:space="preserve">4.3.2. Génération des ID</w:t>
              <w:tab/>
              <w:t xml:space="preserve">22</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720" w:firstLine="0"/>
            <w:rPr>
              <w:rFonts w:ascii="Tahoma" w:cs="Tahoma" w:eastAsia="Tahoma" w:hAnsi="Tahoma"/>
            </w:rPr>
          </w:pPr>
          <w:hyperlink w:anchor="_m8cwdwxt4d8x">
            <w:r w:rsidDel="00000000" w:rsidR="00000000" w:rsidRPr="00000000">
              <w:rPr>
                <w:rFonts w:ascii="Tahoma" w:cs="Tahoma" w:eastAsia="Tahoma" w:hAnsi="Tahoma"/>
                <w:color w:val="036287"/>
                <w:rtl w:val="0"/>
              </w:rPr>
              <w:t xml:space="preserve">4.3.3. Conservation des tables de correspondance / des secrets</w:t>
              <w:tab/>
              <w:t xml:space="preserve">22</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720" w:firstLine="0"/>
            <w:rPr>
              <w:rFonts w:ascii="Tahoma" w:cs="Tahoma" w:eastAsia="Tahoma" w:hAnsi="Tahoma"/>
            </w:rPr>
          </w:pPr>
          <w:hyperlink w:anchor="_b61742rcoksw">
            <w:r w:rsidDel="00000000" w:rsidR="00000000" w:rsidRPr="00000000">
              <w:rPr>
                <w:rFonts w:ascii="Tahoma" w:cs="Tahoma" w:eastAsia="Tahoma" w:hAnsi="Tahoma"/>
                <w:color w:val="036287"/>
                <w:rtl w:val="0"/>
              </w:rPr>
              <w:t xml:space="preserve">4.3.4. Modalités d’accès aux données</w:t>
              <w:tab/>
              <w:t xml:space="preserve">23</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rPr>
              <w:rFonts w:ascii="Tahoma" w:cs="Tahoma" w:eastAsia="Tahoma" w:hAnsi="Tahoma"/>
              <w:b w:val="1"/>
              <w:bCs w:val="1"/>
            </w:rPr>
          </w:pPr>
          <w:hyperlink w:anchor="_u1d7n9yp44li">
            <w:r w:rsidDel="00000000" w:rsidR="00000000" w:rsidRPr="00000000">
              <w:rPr>
                <w:rFonts w:ascii="Tahoma" w:cs="Tahoma" w:eastAsia="Tahoma" w:hAnsi="Tahoma"/>
                <w:b w:val="1"/>
                <w:bCs w:val="1"/>
                <w:color w:val="036287"/>
                <w:rtl w:val="0"/>
              </w:rPr>
              <w:t xml:space="preserve">5. Protection de la vie privée, sécurité et confidentialité des données</w:t>
              <w:tab/>
              <w:t xml:space="preserve">25</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rFonts w:ascii="Tahoma" w:cs="Tahoma" w:eastAsia="Tahoma" w:hAnsi="Tahoma"/>
            </w:rPr>
          </w:pPr>
          <w:hyperlink w:anchor="_hf7bwubfu9yp">
            <w:r w:rsidDel="00000000" w:rsidR="00000000" w:rsidRPr="00000000">
              <w:rPr>
                <w:rFonts w:ascii="Tahoma" w:cs="Tahoma" w:eastAsia="Tahoma" w:hAnsi="Tahoma"/>
                <w:color w:val="036287"/>
                <w:rtl w:val="0"/>
              </w:rPr>
              <w:t xml:space="preserve">5.1. Respect des droits des personnes concernées</w:t>
              <w:tab/>
              <w:t xml:space="preserve">25</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720" w:firstLine="0"/>
            <w:rPr>
              <w:rFonts w:ascii="Tahoma" w:cs="Tahoma" w:eastAsia="Tahoma" w:hAnsi="Tahoma"/>
            </w:rPr>
          </w:pPr>
          <w:hyperlink w:anchor="_qohuwqxo4w6t">
            <w:r w:rsidDel="00000000" w:rsidR="00000000" w:rsidRPr="00000000">
              <w:rPr>
                <w:rFonts w:ascii="Tahoma" w:cs="Tahoma" w:eastAsia="Tahoma" w:hAnsi="Tahoma"/>
                <w:color w:val="036287"/>
                <w:rtl w:val="0"/>
              </w:rPr>
              <w:t xml:space="preserve">5.1.1. Information des personnes concernées (patients adultes et mineurs, titulaires de l’autorité parentale et professionnels de santé)</w:t>
              <w:tab/>
              <w:t xml:space="preserve">25</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720" w:firstLine="0"/>
            <w:rPr>
              <w:rFonts w:ascii="Tahoma" w:cs="Tahoma" w:eastAsia="Tahoma" w:hAnsi="Tahoma"/>
            </w:rPr>
          </w:pPr>
          <w:hyperlink w:anchor="_jb2jlwxnhek8">
            <w:r w:rsidDel="00000000" w:rsidR="00000000" w:rsidRPr="00000000">
              <w:rPr>
                <w:rFonts w:ascii="Tahoma" w:cs="Tahoma" w:eastAsia="Tahoma" w:hAnsi="Tahoma"/>
                <w:color w:val="036287"/>
                <w:rtl w:val="0"/>
              </w:rPr>
              <w:t xml:space="preserve">5.1.1.1. Modalités générales d’information des personnes concernées par les données cliniques appariées à la base principale du SNDS</w:t>
              <w:tab/>
              <w:t xml:space="preserve">25</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1080" w:firstLine="0"/>
            <w:rPr>
              <w:rFonts w:ascii="Tahoma" w:cs="Tahoma" w:eastAsia="Tahoma" w:hAnsi="Tahoma"/>
            </w:rPr>
          </w:pPr>
          <w:hyperlink w:anchor="_f0t35lz9oerz">
            <w:r w:rsidDel="00000000" w:rsidR="00000000" w:rsidRPr="00000000">
              <w:rPr>
                <w:rFonts w:ascii="Tahoma" w:cs="Tahoma" w:eastAsia="Tahoma" w:hAnsi="Tahoma"/>
                <w:color w:val="036287"/>
                <w:rtl w:val="0"/>
              </w:rPr>
              <w:t xml:space="preserve">5.1.1.2. Modalités de délivrance de l’information des personnes concernés par les données cliniques appariées à la base principale du SNDS propres à chaque établissement de santé</w:t>
              <w:tab/>
              <w:t xml:space="preserve">26</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1080" w:firstLine="0"/>
            <w:rPr>
              <w:rFonts w:ascii="Tahoma" w:cs="Tahoma" w:eastAsia="Tahoma" w:hAnsi="Tahoma"/>
            </w:rPr>
          </w:pPr>
          <w:hyperlink w:anchor="_cwiqs73dcsza">
            <w:r w:rsidDel="00000000" w:rsidR="00000000" w:rsidRPr="00000000">
              <w:rPr>
                <w:rFonts w:ascii="Tahoma" w:cs="Tahoma" w:eastAsia="Tahoma" w:hAnsi="Tahoma"/>
                <w:color w:val="036287"/>
                <w:rtl w:val="0"/>
              </w:rPr>
              <w:t xml:space="preserve">5.1.1.3. Modalités d’information des personnes concernées par les données de la base principale du SNDS seule (population témoin)</w:t>
              <w:tab/>
              <w:t xml:space="preserve">28</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rFonts w:ascii="Tahoma" w:cs="Tahoma" w:eastAsia="Tahoma" w:hAnsi="Tahoma"/>
            </w:rPr>
          </w:pPr>
          <w:hyperlink w:anchor="_49nmm5sas17">
            <w:r w:rsidDel="00000000" w:rsidR="00000000" w:rsidRPr="00000000">
              <w:rPr>
                <w:rFonts w:ascii="Tahoma" w:cs="Tahoma" w:eastAsia="Tahoma" w:hAnsi="Tahoma"/>
                <w:color w:val="036287"/>
                <w:rtl w:val="0"/>
              </w:rPr>
              <w:t xml:space="preserve">5.1.2. Modalités d’exercice des autres droits</w:t>
              <w:tab/>
              <w:t xml:space="preserve">29</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rFonts w:ascii="Tahoma" w:cs="Tahoma" w:eastAsia="Tahoma" w:hAnsi="Tahoma"/>
            </w:rPr>
          </w:pPr>
          <w:hyperlink w:anchor="_shn3z4e8ezyo">
            <w:r w:rsidDel="00000000" w:rsidR="00000000" w:rsidRPr="00000000">
              <w:rPr>
                <w:rFonts w:ascii="Tahoma" w:cs="Tahoma" w:eastAsia="Tahoma" w:hAnsi="Tahoma"/>
                <w:color w:val="036287"/>
                <w:rtl w:val="0"/>
              </w:rPr>
              <w:t xml:space="preserve">5.2. Confidentialité et sécurité des données</w:t>
              <w:tab/>
              <w:t xml:space="preserve">33</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firstLine="0"/>
            <w:rPr>
              <w:rFonts w:ascii="Tahoma" w:cs="Tahoma" w:eastAsia="Tahoma" w:hAnsi="Tahoma"/>
            </w:rPr>
          </w:pPr>
          <w:hyperlink w:anchor="_qld94ojktwjv">
            <w:r w:rsidDel="00000000" w:rsidR="00000000" w:rsidRPr="00000000">
              <w:rPr>
                <w:rFonts w:ascii="Tahoma" w:cs="Tahoma" w:eastAsia="Tahoma" w:hAnsi="Tahoma"/>
                <w:color w:val="036287"/>
                <w:rtl w:val="0"/>
              </w:rPr>
              <w:t xml:space="preserve">5.2.1. Mesures techniques et organisationnelles de sécurité</w:t>
              <w:tab/>
              <w:t xml:space="preserve">33</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Tahoma" w:cs="Tahoma" w:eastAsia="Tahoma" w:hAnsi="Tahoma"/>
            </w:rPr>
          </w:pPr>
          <w:hyperlink w:anchor="_l41z5uoviitx">
            <w:r w:rsidDel="00000000" w:rsidR="00000000" w:rsidRPr="00000000">
              <w:rPr>
                <w:rFonts w:ascii="Tahoma" w:cs="Tahoma" w:eastAsia="Tahoma" w:hAnsi="Tahoma"/>
                <w:color w:val="036287"/>
                <w:rtl w:val="0"/>
              </w:rPr>
              <w:t xml:space="preserve">5.2.2. Conservation des données</w:t>
              <w:tab/>
              <w:t xml:space="preserve">34</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Tahoma" w:cs="Tahoma" w:eastAsia="Tahoma" w:hAnsi="Tahoma"/>
            </w:rPr>
          </w:pPr>
          <w:hyperlink w:anchor="_os3caeczoprg">
            <w:r w:rsidDel="00000000" w:rsidR="00000000" w:rsidRPr="00000000">
              <w:rPr>
                <w:rFonts w:ascii="Tahoma" w:cs="Tahoma" w:eastAsia="Tahoma" w:hAnsi="Tahoma"/>
                <w:color w:val="036287"/>
                <w:rtl w:val="0"/>
              </w:rPr>
              <w:t xml:space="preserve">5.2.3. Modalités et garanties de transferts hors Union Européenne</w:t>
              <w:tab/>
              <w:t xml:space="preserve">34</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1080" w:firstLine="0"/>
            <w:rPr>
              <w:rFonts w:ascii="Tahoma" w:cs="Tahoma" w:eastAsia="Tahoma" w:hAnsi="Tahoma"/>
            </w:rPr>
          </w:pPr>
          <w:hyperlink w:anchor="_225oei32tg7f">
            <w:r w:rsidDel="00000000" w:rsidR="00000000" w:rsidRPr="00000000">
              <w:rPr>
                <w:rFonts w:ascii="Tahoma" w:cs="Tahoma" w:eastAsia="Tahoma" w:hAnsi="Tahoma"/>
                <w:color w:val="036287"/>
                <w:rtl w:val="0"/>
              </w:rPr>
              <w:t xml:space="preserve">5.2.3.1. Sur la localisation des données au sein de l’Union Européenne :</w:t>
              <w:tab/>
              <w:t xml:space="preserve">34</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1080" w:firstLine="0"/>
            <w:rPr>
              <w:rFonts w:ascii="Tahoma" w:cs="Tahoma" w:eastAsia="Tahoma" w:hAnsi="Tahoma"/>
            </w:rPr>
          </w:pPr>
          <w:hyperlink w:anchor="_o4fhcrxs7fv1">
            <w:r w:rsidDel="00000000" w:rsidR="00000000" w:rsidRPr="00000000">
              <w:rPr>
                <w:rFonts w:ascii="Tahoma" w:cs="Tahoma" w:eastAsia="Tahoma" w:hAnsi="Tahoma"/>
                <w:color w:val="036287"/>
                <w:rtl w:val="0"/>
              </w:rPr>
              <w:t xml:space="preserve">5.2.3.2. Sur le risque d’application extraterritoriale des lois américaines</w:t>
              <w:tab/>
              <w:t xml:space="preserve">35</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rPr>
              <w:rFonts w:ascii="Tahoma" w:cs="Tahoma" w:eastAsia="Tahoma" w:hAnsi="Tahoma"/>
              <w:b w:val="1"/>
              <w:bCs w:val="1"/>
            </w:rPr>
          </w:pPr>
          <w:hyperlink w:anchor="_snih61c21n1n">
            <w:r w:rsidDel="00000000" w:rsidR="00000000" w:rsidRPr="00000000">
              <w:rPr>
                <w:rFonts w:ascii="Tahoma" w:cs="Tahoma" w:eastAsia="Tahoma" w:hAnsi="Tahoma"/>
                <w:b w:val="1"/>
                <w:bCs w:val="1"/>
                <w:color w:val="036287"/>
                <w:rtl w:val="0"/>
              </w:rPr>
              <w:t xml:space="preserve">Annexes :</w:t>
              <w:tab/>
              <w:t xml:space="preserve">36</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firstLine="0"/>
            <w:rPr>
              <w:rFonts w:ascii="Tahoma" w:cs="Tahoma" w:eastAsia="Tahoma" w:hAnsi="Tahoma"/>
            </w:rPr>
          </w:pPr>
          <w:hyperlink w:anchor="_sztfq4idgcj9">
            <w:r w:rsidDel="00000000" w:rsidR="00000000" w:rsidRPr="00000000">
              <w:rPr>
                <w:rFonts w:ascii="Tahoma" w:cs="Tahoma" w:eastAsia="Tahoma" w:hAnsi="Tahoma"/>
                <w:color w:val="036287"/>
                <w:rtl w:val="0"/>
              </w:rPr>
              <w:t xml:space="preserve">Annexe 1 : Calendrier de mise en oeuvre de l’EDS</w:t>
              <w:tab/>
              <w:t xml:space="preserve">36</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firstLine="0"/>
            <w:rPr>
              <w:rFonts w:ascii="Tahoma" w:cs="Tahoma" w:eastAsia="Tahoma" w:hAnsi="Tahoma"/>
            </w:rPr>
          </w:pPr>
          <w:hyperlink w:anchor="_4ilh0y39pxkg">
            <w:r w:rsidDel="00000000" w:rsidR="00000000" w:rsidRPr="00000000">
              <w:rPr>
                <w:rFonts w:ascii="Tahoma" w:cs="Tahoma" w:eastAsia="Tahoma" w:hAnsi="Tahoma"/>
                <w:color w:val="036287"/>
                <w:rtl w:val="0"/>
              </w:rPr>
              <w:t xml:space="preserve">Annexe 2 : Liste des financeurs de l’étude</w:t>
              <w:tab/>
              <w:t xml:space="preserve">36</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360" w:firstLine="0"/>
            <w:rPr>
              <w:rFonts w:ascii="Tahoma" w:cs="Tahoma" w:eastAsia="Tahoma" w:hAnsi="Tahoma"/>
            </w:rPr>
          </w:pPr>
          <w:hyperlink w:anchor="_k4ikuf6qtqdj">
            <w:r w:rsidDel="00000000" w:rsidR="00000000" w:rsidRPr="00000000">
              <w:rPr>
                <w:rFonts w:ascii="Tahoma" w:cs="Tahoma" w:eastAsia="Tahoma" w:hAnsi="Tahoma"/>
                <w:color w:val="036287"/>
                <w:rtl w:val="0"/>
              </w:rPr>
              <w:t xml:space="preserve">Annexe 3 : Expression de besoin SNDS</w:t>
              <w:tab/>
              <w:t xml:space="preserve">36</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360" w:firstLine="0"/>
            <w:rPr>
              <w:rFonts w:ascii="Tahoma" w:cs="Tahoma" w:eastAsia="Tahoma" w:hAnsi="Tahoma"/>
            </w:rPr>
          </w:pPr>
          <w:hyperlink w:anchor="_lstjn0pfzzhw">
            <w:r w:rsidDel="00000000" w:rsidR="00000000" w:rsidRPr="00000000">
              <w:rPr>
                <w:rFonts w:ascii="Tahoma" w:cs="Tahoma" w:eastAsia="Tahoma" w:hAnsi="Tahoma"/>
                <w:color w:val="036287"/>
                <w:rtl w:val="0"/>
              </w:rPr>
              <w:t xml:space="preserve">Annexe 4 : Notes d’information aux personnes concernées</w:t>
              <w:tab/>
              <w:t xml:space="preserve">36</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Tahoma" w:cs="Tahoma" w:eastAsia="Tahoma" w:hAnsi="Tahoma"/>
            </w:rPr>
          </w:pPr>
          <w:hyperlink w:anchor="_3l9hggw8rui3">
            <w:r w:rsidDel="00000000" w:rsidR="00000000" w:rsidRPr="00000000">
              <w:rPr>
                <w:rFonts w:ascii="Tahoma" w:cs="Tahoma" w:eastAsia="Tahoma" w:hAnsi="Tahoma"/>
                <w:color w:val="036287"/>
                <w:rtl w:val="0"/>
              </w:rPr>
              <w:t xml:space="preserve">Annexe 4.1 Note d’information individuelle à destination des patients adultes</w:t>
              <w:tab/>
              <w:t xml:space="preserve">36</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Tahoma" w:cs="Tahoma" w:eastAsia="Tahoma" w:hAnsi="Tahoma"/>
            </w:rPr>
          </w:pPr>
          <w:hyperlink w:anchor="_w3qkraev2uqy">
            <w:r w:rsidDel="00000000" w:rsidR="00000000" w:rsidRPr="00000000">
              <w:rPr>
                <w:rFonts w:ascii="Tahoma" w:cs="Tahoma" w:eastAsia="Tahoma" w:hAnsi="Tahoma"/>
                <w:color w:val="036287"/>
                <w:rtl w:val="0"/>
              </w:rPr>
              <w:t xml:space="preserve">Annexe 4.2 Note d’information individuelle à destination des patients mineurs (à venir)</w:t>
              <w:tab/>
              <w:t xml:space="preserve">36</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rFonts w:ascii="Tahoma" w:cs="Tahoma" w:eastAsia="Tahoma" w:hAnsi="Tahoma"/>
            </w:rPr>
          </w:pPr>
          <w:hyperlink w:anchor="_8n0rmn9lwvj0">
            <w:r w:rsidDel="00000000" w:rsidR="00000000" w:rsidRPr="00000000">
              <w:rPr>
                <w:rFonts w:ascii="Tahoma" w:cs="Tahoma" w:eastAsia="Tahoma" w:hAnsi="Tahoma"/>
                <w:color w:val="036287"/>
                <w:rtl w:val="0"/>
              </w:rPr>
              <w:t xml:space="preserve">Annexe 4.3 Note d’information individuelle à destination des titulaires de l’autorité parentale des patients mineurs</w:t>
              <w:tab/>
              <w:t xml:space="preserve">36</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Tahoma" w:cs="Tahoma" w:eastAsia="Tahoma" w:hAnsi="Tahoma"/>
            </w:rPr>
          </w:pPr>
          <w:hyperlink w:anchor="_u03tu6gj4j46">
            <w:r w:rsidDel="00000000" w:rsidR="00000000" w:rsidRPr="00000000">
              <w:rPr>
                <w:rFonts w:ascii="Tahoma" w:cs="Tahoma" w:eastAsia="Tahoma" w:hAnsi="Tahoma"/>
                <w:color w:val="036287"/>
                <w:rtl w:val="0"/>
              </w:rPr>
              <w:t xml:space="preserve">Annexe 4.4 Note d’information individuelle à destination des professionnels de santé</w:t>
              <w:tab/>
              <w:t xml:space="preserve">36</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rFonts w:ascii="Tahoma" w:cs="Tahoma" w:eastAsia="Tahoma" w:hAnsi="Tahoma"/>
            </w:rPr>
          </w:pPr>
          <w:hyperlink w:anchor="_czc7h9uct5ru">
            <w:r w:rsidDel="00000000" w:rsidR="00000000" w:rsidRPr="00000000">
              <w:rPr>
                <w:rFonts w:ascii="Tahoma" w:cs="Tahoma" w:eastAsia="Tahoma" w:hAnsi="Tahoma"/>
                <w:color w:val="036287"/>
                <w:rtl w:val="0"/>
              </w:rPr>
              <w:t xml:space="preserve">Annexe 4.5 Note d’information collective à destination des patients adultes (à venir)</w:t>
              <w:tab/>
              <w:t xml:space="preserve">36</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firstLine="0"/>
            <w:rPr>
              <w:rFonts w:ascii="Tahoma" w:cs="Tahoma" w:eastAsia="Tahoma" w:hAnsi="Tahoma"/>
            </w:rPr>
          </w:pPr>
          <w:hyperlink w:anchor="_xkndminfkzm">
            <w:r w:rsidDel="00000000" w:rsidR="00000000" w:rsidRPr="00000000">
              <w:rPr>
                <w:rFonts w:ascii="Tahoma" w:cs="Tahoma" w:eastAsia="Tahoma" w:hAnsi="Tahoma"/>
                <w:color w:val="036287"/>
                <w:rtl w:val="0"/>
              </w:rPr>
              <w:t xml:space="preserve">Annexe 4.6 Note d’information collective à destination des patients mineurs (à venir)</w:t>
              <w:tab/>
              <w:t xml:space="preserve">36</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firstLine="0"/>
            <w:rPr>
              <w:rFonts w:ascii="Tahoma" w:cs="Tahoma" w:eastAsia="Tahoma" w:hAnsi="Tahoma"/>
            </w:rPr>
          </w:pPr>
          <w:hyperlink w:anchor="_hw7yr0bkvsyf">
            <w:r w:rsidDel="00000000" w:rsidR="00000000" w:rsidRPr="00000000">
              <w:rPr>
                <w:rFonts w:ascii="Tahoma" w:cs="Tahoma" w:eastAsia="Tahoma" w:hAnsi="Tahoma"/>
                <w:color w:val="036287"/>
                <w:rtl w:val="0"/>
              </w:rPr>
              <w:t xml:space="preserve">Annexe 4.7 Note d’information collective à destination des titulaires de l’autorité parentale des patients mineurs (à venir)</w:t>
              <w:tab/>
              <w:t xml:space="preserve">36</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720" w:firstLine="0"/>
            <w:rPr>
              <w:rFonts w:ascii="Tahoma" w:cs="Tahoma" w:eastAsia="Tahoma" w:hAnsi="Tahoma"/>
            </w:rPr>
          </w:pPr>
          <w:hyperlink w:anchor="_w0gp9zel9a8d">
            <w:r w:rsidDel="00000000" w:rsidR="00000000" w:rsidRPr="00000000">
              <w:rPr>
                <w:rFonts w:ascii="Tahoma" w:cs="Tahoma" w:eastAsia="Tahoma" w:hAnsi="Tahoma"/>
                <w:color w:val="036287"/>
                <w:rtl w:val="0"/>
              </w:rPr>
              <w:t xml:space="preserve">Annexe 4.8 Note d’information collective à destination des professionnels de santé (à venir)</w:t>
              <w:tab/>
              <w:t xml:space="preserve">36</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360" w:firstLine="0"/>
            <w:rPr>
              <w:rFonts w:ascii="Tahoma" w:cs="Tahoma" w:eastAsia="Tahoma" w:hAnsi="Tahoma"/>
            </w:rPr>
          </w:pPr>
          <w:hyperlink w:anchor="_3v5f0kitivzw">
            <w:r w:rsidDel="00000000" w:rsidR="00000000" w:rsidRPr="00000000">
              <w:rPr>
                <w:rFonts w:ascii="Tahoma" w:cs="Tahoma" w:eastAsia="Tahoma" w:hAnsi="Tahoma"/>
                <w:color w:val="036287"/>
                <w:rtl w:val="0"/>
              </w:rPr>
              <w:t xml:space="preserve">Annexe 5 : Minimum set de données à collecter dans l’EDS</w:t>
              <w:tab/>
              <w:t xml:space="preserve">36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1">
      <w:pPr>
        <w:pStyle w:val="Heading1"/>
        <w:spacing w:after="0" w:lineRule="auto"/>
        <w:ind w:left="0" w:right="-40.8661417322827" w:firstLine="0"/>
        <w:rPr>
          <w:b w:val="0"/>
          <w:bCs w:val="0"/>
          <w:sz w:val="28"/>
          <w:szCs w:val="28"/>
        </w:rPr>
      </w:pPr>
      <w:bookmarkStart w:colFirst="0" w:colLast="0" w:name="_yz32fx7oadds" w:id="2"/>
      <w:bookmarkEnd w:id="2"/>
      <w:r w:rsidDel="00000000" w:rsidR="00000000" w:rsidRPr="00000000">
        <w:rPr>
          <w:rtl w:val="0"/>
        </w:rPr>
      </w:r>
    </w:p>
    <w:p w:rsidR="00000000" w:rsidDel="00000000" w:rsidP="00000000" w:rsidRDefault="00000000" w:rsidRPr="00000000" w14:paraId="00000042">
      <w:pPr>
        <w:spacing w:line="240" w:lineRule="auto"/>
        <w:ind w:right="-40.8661417322827"/>
        <w:rPr>
          <w:rFonts w:ascii="Tahoma" w:cs="Tahoma" w:eastAsia="Tahoma" w:hAnsi="Tahoma"/>
          <w:i w:val="1"/>
          <w:iCs w:val="1"/>
        </w:rPr>
      </w:pPr>
      <w:r w:rsidDel="00000000" w:rsidR="00000000" w:rsidRPr="00000000">
        <w:rPr>
          <w:rtl w:val="0"/>
        </w:rPr>
      </w:r>
    </w:p>
    <w:p w:rsidR="00000000" w:rsidDel="00000000" w:rsidP="00000000" w:rsidRDefault="00000000" w:rsidRPr="00000000" w14:paraId="00000043">
      <w:pPr>
        <w:spacing w:line="240" w:lineRule="auto"/>
        <w:ind w:right="-40.8661417322827"/>
        <w:rPr>
          <w:rFonts w:ascii="Tahoma" w:cs="Tahoma" w:eastAsia="Tahoma" w:hAnsi="Tahoma"/>
          <w:i w:val="1"/>
          <w:iCs w:val="1"/>
        </w:rPr>
      </w:pPr>
      <w:r w:rsidDel="00000000" w:rsidR="00000000" w:rsidRPr="00000000">
        <w:rPr>
          <w:rtl w:val="0"/>
        </w:rPr>
      </w:r>
    </w:p>
    <w:p w:rsidR="00000000" w:rsidDel="00000000" w:rsidP="00000000" w:rsidRDefault="00000000" w:rsidRPr="00000000" w14:paraId="00000044">
      <w:pPr>
        <w:spacing w:line="240" w:lineRule="auto"/>
        <w:ind w:right="-40.8661417322827"/>
        <w:rPr>
          <w:rFonts w:ascii="Tahoma" w:cs="Tahoma" w:eastAsia="Tahoma" w:hAnsi="Tahoma"/>
          <w:i w:val="1"/>
          <w:iCs w:val="1"/>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45">
            <w:pPr>
              <w:spacing w:line="240" w:lineRule="auto"/>
              <w:ind w:right="-40.8661417322827"/>
              <w:rPr>
                <w:rFonts w:ascii="Tahoma" w:cs="Tahoma" w:eastAsia="Tahoma" w:hAnsi="Tahoma"/>
                <w:u w:val="single"/>
              </w:rPr>
            </w:pPr>
            <w:r w:rsidDel="00000000" w:rsidR="00000000" w:rsidRPr="00000000">
              <w:rPr>
                <w:rFonts w:ascii="Tahoma" w:cs="Tahoma" w:eastAsia="Tahoma" w:hAnsi="Tahoma"/>
                <w:u w:val="single"/>
                <w:rtl w:val="0"/>
              </w:rPr>
              <w:t xml:space="preserve">Notice d’utilisation :</w:t>
            </w:r>
          </w:p>
          <w:p w:rsidR="00000000" w:rsidDel="00000000" w:rsidP="00000000" w:rsidRDefault="00000000" w:rsidRPr="00000000" w14:paraId="00000046">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47">
            <w:pPr>
              <w:spacing w:line="240" w:lineRule="auto"/>
              <w:ind w:right="-40.8661417322827"/>
              <w:rPr>
                <w:rFonts w:ascii="Tahoma" w:cs="Tahoma" w:eastAsia="Tahoma" w:hAnsi="Tahoma"/>
              </w:rPr>
            </w:pPr>
            <w:r w:rsidDel="00000000" w:rsidR="00000000" w:rsidRPr="00000000">
              <w:rPr>
                <w:rFonts w:ascii="Tahoma" w:cs="Tahoma" w:eastAsia="Tahoma" w:hAnsi="Tahoma"/>
                <w:rtl w:val="0"/>
              </w:rPr>
              <w:t xml:space="preserve">Le texte ci-après est un exemple permettant d’illustrer le niveau de détail attendu pour la rédaction d’un argumentaire</w:t>
            </w:r>
          </w:p>
        </w:tc>
      </w:tr>
    </w:tbl>
    <w:p w:rsidR="00000000" w:rsidDel="00000000" w:rsidP="00000000" w:rsidRDefault="00000000" w:rsidRPr="00000000" w14:paraId="00000048">
      <w:pPr>
        <w:spacing w:line="240" w:lineRule="auto"/>
        <w:ind w:right="-40.8661417322827"/>
        <w:rPr>
          <w:rFonts w:ascii="Tahoma" w:cs="Tahoma" w:eastAsia="Tahoma" w:hAnsi="Tahoma"/>
          <w:i w:val="1"/>
          <w:iCs w:val="1"/>
        </w:rPr>
      </w:pPr>
      <w:r w:rsidDel="00000000" w:rsidR="00000000" w:rsidRPr="00000000">
        <w:rPr>
          <w:rtl w:val="0"/>
        </w:rPr>
      </w:r>
    </w:p>
    <w:p w:rsidR="00000000" w:rsidDel="00000000" w:rsidP="00000000" w:rsidRDefault="00000000" w:rsidRPr="00000000" w14:paraId="00000049">
      <w:pPr>
        <w:pStyle w:val="Heading1"/>
        <w:numPr>
          <w:ilvl w:val="0"/>
          <w:numId w:val="7"/>
        </w:numPr>
        <w:spacing w:after="0" w:lineRule="auto"/>
        <w:ind w:right="-40.8661417322827"/>
        <w:rPr>
          <w:rFonts w:ascii="Tahoma" w:cs="Tahoma" w:eastAsia="Tahoma" w:hAnsi="Tahoma"/>
          <w:b w:val="1"/>
          <w:bCs w:val="1"/>
          <w:color w:val="036287"/>
          <w:sz w:val="36"/>
          <w:szCs w:val="36"/>
        </w:rPr>
      </w:pPr>
      <w:bookmarkStart w:colFirst="0" w:colLast="0" w:name="_l0mcy8m2ijoa" w:id="3"/>
      <w:bookmarkEnd w:id="3"/>
      <w:r w:rsidDel="00000000" w:rsidR="00000000" w:rsidRPr="00000000">
        <w:rPr>
          <w:sz w:val="36"/>
          <w:szCs w:val="36"/>
          <w:rtl w:val="0"/>
        </w:rPr>
        <w:t xml:space="preserve">Rôles et responsabilités</w:t>
      </w:r>
    </w:p>
    <w:p w:rsidR="00000000" w:rsidDel="00000000" w:rsidP="00000000" w:rsidRDefault="00000000" w:rsidRPr="00000000" w14:paraId="0000004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4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20XX, le &lt; nom du responsable de traitement &gt; a décidé de mettre en œuvre l’entrepôt de données de santé (EDS) , à savoir une base de données multicentrique, standardisée et chainée avec la base principale du SNDS (Système National des Données de Santé).</w:t>
      </w:r>
    </w:p>
    <w:p w:rsidR="00000000" w:rsidDel="00000000" w:rsidP="00000000" w:rsidRDefault="00000000" w:rsidRPr="00000000" w14:paraId="0000004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4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Dans cette perspective, le &lt; nom du responsable de traitement &gt; a créé un partenariat avec &lt; noms des partenaires &gt;  </w:t>
      </w:r>
    </w:p>
    <w:p w:rsidR="00000000" w:rsidDel="00000000" w:rsidP="00000000" w:rsidRDefault="00000000" w:rsidRPr="00000000" w14:paraId="0000004E">
      <w:pPr>
        <w:keepNext w:val="1"/>
        <w:keepLines w:val="1"/>
        <w:spacing w:after="60" w:before="60"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4F">
      <w:pPr>
        <w:keepNext w:val="1"/>
        <w:keepLines w:val="1"/>
        <w:spacing w:after="60" w:before="60"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constitution de cet EDS répond à des besoins exprimés par l’écosystème en termes de mutualisation des données afin de constituer des bases de données de taille critique &lt; description du besoin &gt;.</w:t>
      </w:r>
    </w:p>
    <w:p w:rsidR="00000000" w:rsidDel="00000000" w:rsidP="00000000" w:rsidRDefault="00000000" w:rsidRPr="00000000" w14:paraId="0000005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alimentant cet entrepôt peuvent ensuite être réutilisées dans le cadre de recherches, études et évaluations dans le domaine de la santé qui feront l’objet des formalités nécessaires au titre des </w:t>
      </w:r>
      <w:hyperlink r:id="rId7">
        <w:r w:rsidDel="00000000" w:rsidR="00000000" w:rsidRPr="00000000">
          <w:rPr>
            <w:rFonts w:ascii="Tahoma" w:cs="Tahoma" w:eastAsia="Tahoma" w:hAnsi="Tahoma"/>
            <w:color w:val="1155cc"/>
            <w:u w:val="single"/>
            <w:rtl w:val="0"/>
          </w:rPr>
          <w:t xml:space="preserve">articles 66 et 72 et suivants de la loi Informatique et Libertés</w:t>
        </w:r>
      </w:hyperlink>
      <w:r w:rsidDel="00000000" w:rsidR="00000000" w:rsidRPr="00000000">
        <w:rPr>
          <w:rFonts w:ascii="Tahoma" w:cs="Tahoma" w:eastAsia="Tahoma" w:hAnsi="Tahoma"/>
          <w:rtl w:val="0"/>
        </w:rPr>
        <w:t xml:space="preserve">. Ces formalités peuvent être aussi bien un avis du CESREES et une autorisation de la CNIL que la conformité à la MR004.</w:t>
      </w:r>
    </w:p>
    <w:p w:rsidR="00000000" w:rsidDel="00000000" w:rsidP="00000000" w:rsidRDefault="00000000" w:rsidRPr="00000000" w14:paraId="0000005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2">
      <w:pPr>
        <w:pStyle w:val="Heading2"/>
        <w:numPr>
          <w:ilvl w:val="1"/>
          <w:numId w:val="25"/>
        </w:numPr>
        <w:spacing w:after="120" w:before="360" w:line="240" w:lineRule="auto"/>
        <w:ind w:left="2160" w:right="-40.8661417322827" w:hanging="360"/>
        <w:rPr>
          <w:rFonts w:ascii="Tahoma" w:cs="Tahoma" w:eastAsia="Tahoma" w:hAnsi="Tahoma"/>
          <w:color w:val="036287"/>
          <w:sz w:val="28"/>
          <w:szCs w:val="28"/>
        </w:rPr>
      </w:pPr>
      <w:bookmarkStart w:colFirst="0" w:colLast="0" w:name="_3znysh7" w:id="4"/>
      <w:bookmarkEnd w:id="4"/>
      <w:r w:rsidDel="00000000" w:rsidR="00000000" w:rsidRPr="00000000">
        <w:rPr>
          <w:b w:val="0"/>
          <w:bCs w:val="0"/>
          <w:sz w:val="28"/>
          <w:szCs w:val="28"/>
          <w:rtl w:val="0"/>
        </w:rPr>
        <w:t xml:space="preserve">Parties prenantes du projet</w:t>
      </w:r>
    </w:p>
    <w:p w:rsidR="00000000" w:rsidDel="00000000" w:rsidP="00000000" w:rsidRDefault="00000000" w:rsidRPr="00000000" w14:paraId="00000053">
      <w:pPr>
        <w:spacing w:line="240" w:lineRule="auto"/>
        <w:ind w:left="720" w:right="-40.8661417322827" w:firstLine="0"/>
        <w:rPr>
          <w:rFonts w:ascii="Tahoma" w:cs="Tahoma" w:eastAsia="Tahoma" w:hAnsi="Tahoma"/>
        </w:rPr>
      </w:pPr>
      <w:r w:rsidDel="00000000" w:rsidR="00000000" w:rsidRPr="00000000">
        <w:rPr>
          <w:rtl w:val="0"/>
        </w:rPr>
      </w:r>
    </w:p>
    <w:p w:rsidR="00000000" w:rsidDel="00000000" w:rsidP="00000000" w:rsidRDefault="00000000" w:rsidRPr="00000000" w14:paraId="0000005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mise en œuvre de l’EDS &lt; nom de l’EDS &gt; implique la participation d’un certain nombre d’acteurs aux missions et responsabilités variées.</w:t>
      </w:r>
    </w:p>
    <w:p w:rsidR="00000000" w:rsidDel="00000000" w:rsidP="00000000" w:rsidRDefault="00000000" w:rsidRPr="00000000" w14:paraId="0000005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6">
      <w:pPr>
        <w:numPr>
          <w:ilvl w:val="0"/>
          <w:numId w:val="28"/>
        </w:numPr>
        <w:spacing w:line="240" w:lineRule="auto"/>
        <w:ind w:left="720" w:right="-40.8661417322827" w:hanging="360"/>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Les parties prenantes qui participent à la production des données ou à leur traitement, et qui interviendront activement dans la gouvernance de l’entrepôt :</w:t>
      </w:r>
    </w:p>
    <w:p w:rsidR="00000000" w:rsidDel="00000000" w:rsidP="00000000" w:rsidRDefault="00000000" w:rsidRPr="00000000" w14:paraId="0000005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br w:type="textWrapping"/>
        <w:t xml:space="preserve">En premier lieu, le &lt; nom du responsable de traitement &gt; coordonne la mise en œuvre de l’entrepôt de données par toutes les autres parties prenantes présentées ci-dessous. Outre le pilotage du projet, le &lt; nom du responsable de traitement &gt; a été force de proposition sur la définition du périmètre de données collectées dans l’entrepôt ainsi que sur la population cible de l’EDS. Par ailleurs, le &lt; nom du responsable de traitement &gt; interviendra également tout au long du cycle de vie la donnée : préparation des ETL (“Extract-Transform-Load”, programme de transformation de données qui suit les étapes suivantes : extraction des données brutes d'intérêt, transformation des données extraites, chargement des données extraites, par exemple dans un système de gestion de bases de données) entre les établissements et la plateforme du &lt; nom du responsable de traitement &gt;, transformation des données au format OMOP (Observational medical outcomes partnership - Common Data Model), chaînage avec la base principale du SNDS, mise en qualité finale de la base chaînée, hébergement de l’entrepôt chaîné et mise à disposition des données aux porteurs de projets autorisés.</w:t>
      </w:r>
    </w:p>
    <w:p w:rsidR="00000000" w:rsidDel="00000000" w:rsidP="00000000" w:rsidRDefault="00000000" w:rsidRPr="00000000" w14:paraId="0000005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second lieu, les &lt; noms des établissements de santé &gt;  suivants sont fournisseurs de données de l’entrepôt. Le &lt; nom du responsable de traitement &gt; établit une convention de partenariat avec chaque établissement de santé pour préciser les rôles et responsabilités des parties dans le cadre de ce projet ainsi que les principes de gouvernance de l’entrepôt &lt; nom de l’EDS &gt;.</w:t>
      </w:r>
    </w:p>
    <w:p w:rsidR="00000000" w:rsidDel="00000000" w:rsidP="00000000" w:rsidRDefault="00000000" w:rsidRPr="00000000" w14:paraId="0000005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B">
      <w:pPr>
        <w:numPr>
          <w:ilvl w:val="0"/>
          <w:numId w:val="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Les parties prenantes qui apportent leur expertise afin d’accompagner les établissements de santé et le &lt; nom du responsable de traitement &gt; dans le pilotage et la réalisation opérationnelle du projet, sans intervenir sur les données personnelles de l’entrepôt :</w:t>
      </w:r>
      <w:r w:rsidDel="00000000" w:rsidR="00000000" w:rsidRPr="00000000">
        <w:rPr>
          <w:rFonts w:ascii="Tahoma" w:cs="Tahoma" w:eastAsia="Tahoma" w:hAnsi="Tahoma"/>
          <w:rtl w:val="0"/>
        </w:rPr>
        <w:t xml:space="preserve"> </w:t>
      </w:r>
    </w:p>
    <w:p w:rsidR="00000000" w:rsidDel="00000000" w:rsidP="00000000" w:rsidRDefault="00000000" w:rsidRPr="00000000" w14:paraId="0000005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premier lieu, la plateforme de recherche en pharmaco-épidémiologie chargée d’apporter une expertise médico-scientifique sur la conduite du projet notamment aux stades de la préparation des données au niveau des établissements et de la préparation de la base de données finale notamment par le biais de son expertise sur la base principale du SNDS.</w:t>
      </w:r>
    </w:p>
    <w:p w:rsidR="00000000" w:rsidDel="00000000" w:rsidP="00000000" w:rsidRDefault="00000000" w:rsidRPr="00000000" w14:paraId="0000005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5F">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second lieu, </w:t>
      </w:r>
      <w:r w:rsidDel="00000000" w:rsidR="00000000" w:rsidRPr="00000000">
        <w:rPr>
          <w:rFonts w:ascii="Tahoma" w:cs="Tahoma" w:eastAsia="Tahoma" w:hAnsi="Tahoma"/>
          <w:highlight w:val="white"/>
          <w:rtl w:val="0"/>
        </w:rPr>
        <w:t xml:space="preserve">l'agence gouvernementale française chargée de la santé numérique,</w:t>
      </w:r>
      <w:r w:rsidDel="00000000" w:rsidR="00000000" w:rsidRPr="00000000">
        <w:rPr>
          <w:rFonts w:ascii="Tahoma" w:cs="Tahoma" w:eastAsia="Tahoma" w:hAnsi="Tahoma"/>
          <w:rtl w:val="0"/>
        </w:rPr>
        <w:t xml:space="preserve"> l’Agence du Numérique en Santé (ci-après </w:t>
      </w:r>
      <w:r w:rsidDel="00000000" w:rsidR="00000000" w:rsidRPr="00000000">
        <w:rPr>
          <w:rFonts w:ascii="Tahoma" w:cs="Tahoma" w:eastAsia="Tahoma" w:hAnsi="Tahoma"/>
          <w:i w:val="1"/>
          <w:iCs w:val="1"/>
          <w:rtl w:val="0"/>
        </w:rPr>
        <w:t xml:space="preserve">“ANS”</w:t>
      </w:r>
      <w:r w:rsidDel="00000000" w:rsidR="00000000" w:rsidRPr="00000000">
        <w:rPr>
          <w:rFonts w:ascii="Tahoma" w:cs="Tahoma" w:eastAsia="Tahoma" w:hAnsi="Tahoma"/>
          <w:rtl w:val="0"/>
        </w:rPr>
        <w:t xml:space="preserve">), apportant une expertise ciblée par la réalisation du référentiel médicament.</w:t>
      </w:r>
    </w:p>
    <w:p w:rsidR="00000000" w:rsidDel="00000000" w:rsidP="00000000" w:rsidRDefault="00000000" w:rsidRPr="00000000" w14:paraId="0000006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6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troisième lieu, &lt; nom d’un partenaire &gt; chargé d’appuyer le &lt; nom du responsable de traitement &gt; dans le pilotage et la coordination du projet. </w:t>
      </w:r>
    </w:p>
    <w:p w:rsidR="00000000" w:rsidDel="00000000" w:rsidP="00000000" w:rsidRDefault="00000000" w:rsidRPr="00000000" w14:paraId="0000006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63">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Ces partenaires ne traitent pas les données personnelles.</w:t>
      </w:r>
    </w:p>
    <w:p w:rsidR="00000000" w:rsidDel="00000000" w:rsidP="00000000" w:rsidRDefault="00000000" w:rsidRPr="00000000" w14:paraId="0000006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Ces partenaires participent à la constitution de l’entrepôt mais n’ont pas vocation à contribuer à son pilotage de manière pérenne.</w:t>
      </w:r>
    </w:p>
    <w:p w:rsidR="00000000" w:rsidDel="00000000" w:rsidP="00000000" w:rsidRDefault="00000000" w:rsidRPr="00000000" w14:paraId="00000065">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66">
      <w:pPr>
        <w:pStyle w:val="Heading2"/>
        <w:numPr>
          <w:ilvl w:val="1"/>
          <w:numId w:val="25"/>
        </w:numPr>
        <w:spacing w:after="120" w:before="360" w:line="240" w:lineRule="auto"/>
        <w:ind w:left="2160" w:right="-40.8661417322827" w:hanging="360"/>
        <w:rPr>
          <w:rFonts w:ascii="Tahoma" w:cs="Tahoma" w:eastAsia="Tahoma" w:hAnsi="Tahoma"/>
          <w:color w:val="036287"/>
          <w:sz w:val="28"/>
          <w:szCs w:val="28"/>
        </w:rPr>
      </w:pPr>
      <w:bookmarkStart w:colFirst="0" w:colLast="0" w:name="_gdwcxkj11bsu" w:id="5"/>
      <w:bookmarkEnd w:id="5"/>
      <w:r w:rsidDel="00000000" w:rsidR="00000000" w:rsidRPr="00000000">
        <w:rPr>
          <w:b w:val="0"/>
          <w:bCs w:val="0"/>
          <w:sz w:val="28"/>
          <w:szCs w:val="28"/>
          <w:rtl w:val="0"/>
        </w:rPr>
        <w:t xml:space="preserve">Qualification des parties au sens du RGPD</w:t>
      </w:r>
    </w:p>
    <w:p w:rsidR="00000000" w:rsidDel="00000000" w:rsidP="00000000" w:rsidRDefault="00000000" w:rsidRPr="00000000" w14:paraId="00000067">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68">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parties prenantes qui auront des rôles et responsabilités au sens du RGPD et qui interviennent dans le traitement des données personnelles sont les suivantes : </w:t>
      </w:r>
    </w:p>
    <w:p w:rsidR="00000000" w:rsidDel="00000000" w:rsidP="00000000" w:rsidRDefault="00000000" w:rsidRPr="00000000" w14:paraId="00000069">
      <w:pPr>
        <w:numPr>
          <w:ilvl w:val="0"/>
          <w:numId w:val="1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en tant que responsable de traitement ;</w:t>
      </w:r>
    </w:p>
    <w:p w:rsidR="00000000" w:rsidDel="00000000" w:rsidP="00000000" w:rsidRDefault="00000000" w:rsidRPr="00000000" w14:paraId="0000006A">
      <w:pPr>
        <w:numPr>
          <w:ilvl w:val="0"/>
          <w:numId w:val="1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d’un sous-traitant &gt;,  en tant que sous-traitant ;</w:t>
      </w:r>
    </w:p>
    <w:p w:rsidR="00000000" w:rsidDel="00000000" w:rsidP="00000000" w:rsidRDefault="00000000" w:rsidRPr="00000000" w14:paraId="0000006B">
      <w:pPr>
        <w:numPr>
          <w:ilvl w:val="0"/>
          <w:numId w:val="1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d’un sous-traitant &gt;, en tant que sous-traitant.</w:t>
      </w:r>
    </w:p>
    <w:p w:rsidR="00000000" w:rsidDel="00000000" w:rsidP="00000000" w:rsidRDefault="00000000" w:rsidRPr="00000000" w14:paraId="0000006C">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6D">
      <w:pPr>
        <w:pStyle w:val="Heading3"/>
        <w:numPr>
          <w:ilvl w:val="2"/>
          <w:numId w:val="25"/>
        </w:numPr>
        <w:spacing w:line="240" w:lineRule="auto"/>
        <w:ind w:left="2880" w:right="-40.8661417322827" w:hanging="360"/>
        <w:jc w:val="both"/>
        <w:rPr>
          <w:rFonts w:ascii="Tahoma" w:cs="Tahoma" w:eastAsia="Tahoma" w:hAnsi="Tahoma"/>
          <w:color w:val="434343"/>
          <w:sz w:val="28"/>
          <w:szCs w:val="28"/>
        </w:rPr>
      </w:pPr>
      <w:bookmarkStart w:colFirst="0" w:colLast="0" w:name="_l15fgesb59eg" w:id="6"/>
      <w:bookmarkEnd w:id="6"/>
      <w:r w:rsidDel="00000000" w:rsidR="00000000" w:rsidRPr="00000000">
        <w:rPr>
          <w:color w:val="434343"/>
          <w:sz w:val="28"/>
          <w:szCs w:val="28"/>
          <w:u w:val="single"/>
          <w:rtl w:val="0"/>
        </w:rPr>
        <w:t xml:space="preserve">Responsable de traitement de l’entrepôt </w:t>
      </w:r>
    </w:p>
    <w:p w:rsidR="00000000" w:rsidDel="00000000" w:rsidP="00000000" w:rsidRDefault="00000000" w:rsidRPr="00000000" w14:paraId="0000006E">
      <w:pPr>
        <w:keepNext w:val="1"/>
        <w:keepLines w:val="1"/>
        <w:spacing w:after="60" w:before="60"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6F">
      <w:pPr>
        <w:keepNext w:val="1"/>
        <w:keepLines w:val="1"/>
        <w:spacing w:after="60" w:before="60"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&lt; nom de l'entrepôt &gt; est mis en œuvre par le &lt; nom du responsable de traitement &gt;, en tant que responsable de traitement :</w:t>
      </w:r>
    </w:p>
    <w:p w:rsidR="00000000" w:rsidDel="00000000" w:rsidP="00000000" w:rsidRDefault="00000000" w:rsidRPr="00000000" w14:paraId="00000070">
      <w:pPr>
        <w:spacing w:line="240" w:lineRule="auto"/>
        <w:ind w:right="-40.8661417322827"/>
        <w:jc w:val="both"/>
        <w:rPr>
          <w:rFonts w:ascii="Tahoma" w:cs="Tahoma" w:eastAsia="Tahoma" w:hAnsi="Tahoma"/>
        </w:rPr>
      </w:pPr>
      <w:r w:rsidDel="00000000" w:rsidR="00000000" w:rsidRPr="00000000">
        <w:rPr>
          <w:rtl w:val="0"/>
        </w:rPr>
      </w:r>
    </w:p>
    <w:tbl>
      <w:tblPr>
        <w:tblStyle w:val="Table2"/>
        <w:tblW w:w="9029.9999999999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06.5948275862067"/>
        <w:gridCol w:w="1284.4396551724137"/>
        <w:gridCol w:w="1586.0883620689654"/>
        <w:gridCol w:w="1586.0883620689654"/>
        <w:gridCol w:w="1586.0883620689654"/>
        <w:gridCol w:w="1780.7004310344826"/>
        <w:tblGridChange w:id="0">
          <w:tblGrid>
            <w:gridCol w:w="1206.5948275862067"/>
            <w:gridCol w:w="1284.4396551724137"/>
            <w:gridCol w:w="1586.0883620689654"/>
            <w:gridCol w:w="1586.0883620689654"/>
            <w:gridCol w:w="1586.0883620689654"/>
            <w:gridCol w:w="1780.7004310344826"/>
          </w:tblGrid>
        </w:tblGridChange>
      </w:tblGrid>
      <w:tr>
        <w:trPr>
          <w:cantSplit w:val="0"/>
          <w:trHeight w:val="484.21875" w:hRule="atLeast"/>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1">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Nom de l’établissement</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2">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Type de structure</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3">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Représenté par (nom et fonction)</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4">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Coordonnées du RT</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5">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Coordonnées du DPO</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center"/>
          </w:tcPr>
          <w:p w:rsidR="00000000" w:rsidDel="00000000" w:rsidP="00000000" w:rsidRDefault="00000000" w:rsidRPr="00000000" w14:paraId="00000076">
            <w:pPr>
              <w:widowControl w:val="0"/>
              <w:spacing w:line="240" w:lineRule="auto"/>
              <w:ind w:right="-40.8661417322827"/>
              <w:jc w:val="center"/>
              <w:rPr>
                <w:rFonts w:ascii="Tahoma" w:cs="Tahoma" w:eastAsia="Tahoma" w:hAnsi="Tahoma"/>
                <w:color w:val="ffffff"/>
              </w:rPr>
            </w:pPr>
            <w:r w:rsidDel="00000000" w:rsidR="00000000" w:rsidRPr="00000000">
              <w:rPr>
                <w:rFonts w:ascii="Tahoma" w:cs="Tahoma" w:eastAsia="Tahoma" w:hAnsi="Tahoma"/>
                <w:color w:val="ffffff"/>
                <w:rtl w:val="0"/>
              </w:rPr>
              <w:t xml:space="preserve">Résumé du rôle dans l’EDS </w:t>
            </w:r>
          </w:p>
        </w:tc>
      </w:tr>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ind w:right="-40.8661417322827"/>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du responsable de traitement &gt; </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ind w:right="-40.8661417322827"/>
              <w:jc w:val="both"/>
              <w:rPr>
                <w:rFonts w:ascii="Tahoma" w:cs="Tahoma" w:eastAsia="Tahoma" w:hAnsi="Tahoma"/>
                <w:sz w:val="20"/>
                <w:szCs w:val="20"/>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ind w:right="-40.8661417322827"/>
              <w:jc w:val="both"/>
              <w:rPr>
                <w:rFonts w:ascii="Tahoma" w:cs="Tahoma" w:eastAsia="Tahoma" w:hAnsi="Tahoma"/>
                <w:sz w:val="20"/>
                <w:szCs w:val="20"/>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B">
            <w:pPr>
              <w:widowControl w:val="0"/>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C">
            <w:pPr>
              <w:widowControl w:val="0"/>
              <w:spacing w:line="240" w:lineRule="auto"/>
              <w:ind w:right="-40.8661417322827"/>
              <w:jc w:val="both"/>
              <w:rPr>
                <w:rFonts w:ascii="Tahoma" w:cs="Tahoma" w:eastAsia="Tahoma" w:hAnsi="Tahoma"/>
                <w:sz w:val="20"/>
                <w:szCs w:val="20"/>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ind w:right="-40.8661417322827"/>
              <w:jc w:val="both"/>
              <w:rPr>
                <w:rFonts w:ascii="Tahoma" w:cs="Tahoma" w:eastAsia="Tahoma" w:hAnsi="Tahoma"/>
                <w:sz w:val="20"/>
                <w:szCs w:val="20"/>
              </w:rPr>
            </w:pP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E">
            <w:pPr>
              <w:spacing w:line="240" w:lineRule="auto"/>
              <w:ind w:right="-40.8661417322827"/>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Assure en tant que responsable de traitement, l’organisation, le pilotage et la mise à disposition des données de l’EDS </w:t>
            </w:r>
          </w:p>
        </w:tc>
      </w:tr>
    </w:tbl>
    <w:p w:rsidR="00000000" w:rsidDel="00000000" w:rsidP="00000000" w:rsidRDefault="00000000" w:rsidRPr="00000000" w14:paraId="0000007F">
      <w:pPr>
        <w:keepNext w:val="1"/>
        <w:keepLines w:val="1"/>
        <w:spacing w:after="60" w:before="60"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est responsable de traitement de l’EDS, dans la mesure où il en a déterminé les finalités et les moyens : </w:t>
      </w:r>
    </w:p>
    <w:p w:rsidR="00000000" w:rsidDel="00000000" w:rsidP="00000000" w:rsidRDefault="00000000" w:rsidRPr="00000000" w14:paraId="00000080">
      <w:pPr>
        <w:keepNext w:val="1"/>
        <w:keepLines w:val="1"/>
        <w:numPr>
          <w:ilvl w:val="0"/>
          <w:numId w:val="44"/>
        </w:numPr>
        <w:spacing w:before="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Concernant les finalités, la mise en œuvre de l’EDS s’est opérée à l’initiative du &lt; nom du responsable de traitement &gt; qui s’est rapproché de quatre établissements de santé partenaires. La constitution de l’EDS répond en effet à des besoins de l’écosystème remontés au &lt; nom du responsable de traitement &gt; : besoin de mutualisation des données afin de constituer des bases de données de taille critique pour la recherche, l’optimisation du parcours de soin ou le pilotage de l’activité hospitalière, besoin de compléter les données administratives avec des données cliniques, besoin d’accéder à des données standardisées dans des formats internationaux permettant de répondre à des études pour le compte d’autorités réglementaires européennes. Enfin, l’EDS multicentrique s’est d’abord construit autour d’une famille de cas d’usage identifiée comme parmi les plus stratégiques pour l’utilisation des données de vie réelles qui est la pharmacovigilance. Cette thématique a pris d’autant plus d’importance avec la crise sanitaire.</w:t>
      </w:r>
    </w:p>
    <w:p w:rsidR="00000000" w:rsidDel="00000000" w:rsidP="00000000" w:rsidRDefault="00000000" w:rsidRPr="00000000" w14:paraId="00000081">
      <w:pPr>
        <w:keepNext w:val="1"/>
        <w:keepLines w:val="1"/>
        <w:numPr>
          <w:ilvl w:val="0"/>
          <w:numId w:val="44"/>
        </w:numPr>
        <w:spacing w:after="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Sur les moyens, le &lt; nom du responsable de traitement &gt; définit le périmètre des données, le périmètre des personnes concernées (détaillé dans la partie 3.2 du présent document), les destinataires des données (les porteurs de projet qui auront effectué les formalités adéquates), la durée de conservation. Par ailleurs, l’EDS sera hébergé sur la plateforme technologique de &lt; nom du responsable de traitement &gt;. </w:t>
      </w:r>
    </w:p>
    <w:p w:rsidR="00000000" w:rsidDel="00000000" w:rsidP="00000000" w:rsidRDefault="00000000" w:rsidRPr="00000000" w14:paraId="0000008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83">
      <w:pPr>
        <w:pStyle w:val="Heading3"/>
        <w:numPr>
          <w:ilvl w:val="2"/>
          <w:numId w:val="25"/>
        </w:numPr>
        <w:spacing w:after="80" w:before="320" w:line="240" w:lineRule="auto"/>
        <w:ind w:left="2880" w:right="-40.8661417322827" w:hanging="360"/>
        <w:jc w:val="both"/>
        <w:rPr>
          <w:rFonts w:ascii="Tahoma" w:cs="Tahoma" w:eastAsia="Tahoma" w:hAnsi="Tahoma"/>
          <w:color w:val="434343"/>
          <w:sz w:val="28"/>
          <w:szCs w:val="28"/>
        </w:rPr>
      </w:pPr>
      <w:bookmarkStart w:colFirst="0" w:colLast="0" w:name="_l0olcyho8by6" w:id="7"/>
      <w:bookmarkEnd w:id="7"/>
      <w:r w:rsidDel="00000000" w:rsidR="00000000" w:rsidRPr="00000000">
        <w:rPr>
          <w:color w:val="434343"/>
          <w:sz w:val="28"/>
          <w:szCs w:val="28"/>
          <w:u w:val="single"/>
          <w:rtl w:val="0"/>
        </w:rPr>
        <w:t xml:space="preserve">Sous-traitants de l’entrepôt </w:t>
      </w:r>
    </w:p>
    <w:p w:rsidR="00000000" w:rsidDel="00000000" w:rsidP="00000000" w:rsidRDefault="00000000" w:rsidRPr="00000000" w14:paraId="0000008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8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Deux acteurs sont identifiés comme sous-traitants du traitement de mise en oeuvre de l’entrepôt : </w:t>
      </w:r>
    </w:p>
    <w:p w:rsidR="00000000" w:rsidDel="00000000" w:rsidP="00000000" w:rsidRDefault="00000000" w:rsidRPr="00000000" w14:paraId="00000086">
      <w:pPr>
        <w:numPr>
          <w:ilvl w:val="0"/>
          <w:numId w:val="4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du sous-traitant &gt;, dans la mesure où la plateforme technologique repose sur les offres disposant de la certification « Hébergeur de données de santé » (</w:t>
      </w:r>
      <w:hyperlink r:id="rId8">
        <w:r w:rsidDel="00000000" w:rsidR="00000000" w:rsidRPr="00000000">
          <w:rPr>
            <w:rFonts w:ascii="Tahoma" w:cs="Tahoma" w:eastAsia="Tahoma" w:hAnsi="Tahoma"/>
            <w:rtl w:val="0"/>
          </w:rPr>
          <w:t xml:space="preserve">https://esante.gouv.fr/labels-certifications/hds/liste-des-herbergeurs-certifies</w:t>
        </w:r>
      </w:hyperlink>
      <w:r w:rsidDel="00000000" w:rsidR="00000000" w:rsidRPr="00000000">
        <w:rPr>
          <w:rFonts w:ascii="Tahoma" w:cs="Tahoma" w:eastAsia="Tahoma" w:hAnsi="Tahoma"/>
          <w:rtl w:val="0"/>
        </w:rPr>
        <w:t xml:space="preserve">) :</w:t>
      </w:r>
    </w:p>
    <w:p w:rsidR="00000000" w:rsidDel="00000000" w:rsidP="00000000" w:rsidRDefault="00000000" w:rsidRPr="00000000" w14:paraId="00000087">
      <w:pPr>
        <w:numPr>
          <w:ilvl w:val="1"/>
          <w:numId w:val="4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offre « Infrastructure as a Service », qui met à disposition une virtualisation de l’infrastructure physique permettant de stocker les données et applications, de fournir de la puissance de calcul et de mettre en réseau la plateforme technologique.</w:t>
      </w:r>
    </w:p>
    <w:p w:rsidR="00000000" w:rsidDel="00000000" w:rsidP="00000000" w:rsidRDefault="00000000" w:rsidRPr="00000000" w14:paraId="00000088">
      <w:pPr>
        <w:numPr>
          <w:ilvl w:val="1"/>
          <w:numId w:val="4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offre « Platform as a Service », qui propose un ensemble de services « logiciels »</w:t>
      </w:r>
    </w:p>
    <w:p w:rsidR="00000000" w:rsidDel="00000000" w:rsidP="00000000" w:rsidRDefault="00000000" w:rsidRPr="00000000" w14:paraId="00000089">
      <w:pPr>
        <w:numPr>
          <w:ilvl w:val="1"/>
          <w:numId w:val="4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de santé pseudonymisées reçues sont stockées uniquement dans la plateforme technologique. </w:t>
      </w:r>
    </w:p>
    <w:p w:rsidR="00000000" w:rsidDel="00000000" w:rsidP="00000000" w:rsidRDefault="00000000" w:rsidRPr="00000000" w14:paraId="0000008A">
      <w:pPr>
        <w:numPr>
          <w:ilvl w:val="0"/>
          <w:numId w:val="4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du sous-traitant &gt;, chargé d’archiver électroniquement les données de journalisation des utilisateurs de la plateforme technologique du &lt; nom du responsable de traitement &gt;. </w:t>
      </w:r>
    </w:p>
    <w:p w:rsidR="00000000" w:rsidDel="00000000" w:rsidP="00000000" w:rsidRDefault="00000000" w:rsidRPr="00000000" w14:paraId="0000008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8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Dans le cadre de la mise en œuvre de l’entrepôt, &lt; nom du sous-traitant &gt;, en sa qualité d’hébergeur des données, et &lt; nom du sous-traitant &gt;, en tant qu’archiveur des traces d’activité, traiteront des données à caractère personnel pour le compte, sur instruction et sous l’autorité du responsable de traitement. Ces sous-traitants inscriront les traitements réalisés au sein de leur registre des activités de traitement conformément à l’</w:t>
      </w:r>
      <w:hyperlink r:id="rId9">
        <w:r w:rsidDel="00000000" w:rsidR="00000000" w:rsidRPr="00000000">
          <w:rPr>
            <w:rFonts w:ascii="Tahoma" w:cs="Tahoma" w:eastAsia="Tahoma" w:hAnsi="Tahoma"/>
            <w:rtl w:val="0"/>
          </w:rPr>
          <w:t xml:space="preserve">article 30.2 du RGPD</w:t>
        </w:r>
      </w:hyperlink>
      <w:r w:rsidDel="00000000" w:rsidR="00000000" w:rsidRPr="00000000">
        <w:rPr>
          <w:rFonts w:ascii="Tahoma" w:cs="Tahoma" w:eastAsia="Tahoma" w:hAnsi="Tahoma"/>
          <w:rtl w:val="0"/>
        </w:rPr>
        <w:t xml:space="preserve">.</w:t>
      </w:r>
    </w:p>
    <w:p w:rsidR="00000000" w:rsidDel="00000000" w:rsidP="00000000" w:rsidRDefault="00000000" w:rsidRPr="00000000" w14:paraId="0000008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Conformément à l’</w:t>
      </w:r>
      <w:hyperlink r:id="rId10">
        <w:r w:rsidDel="00000000" w:rsidR="00000000" w:rsidRPr="00000000">
          <w:rPr>
            <w:rFonts w:ascii="Tahoma" w:cs="Tahoma" w:eastAsia="Tahoma" w:hAnsi="Tahoma"/>
            <w:color w:val="1155cc"/>
            <w:u w:val="single"/>
            <w:rtl w:val="0"/>
          </w:rPr>
          <w:t xml:space="preserve">article 28 du RGPD</w:t>
        </w:r>
      </w:hyperlink>
      <w:r w:rsidDel="00000000" w:rsidR="00000000" w:rsidRPr="00000000">
        <w:rPr>
          <w:rFonts w:ascii="Tahoma" w:cs="Tahoma" w:eastAsia="Tahoma" w:hAnsi="Tahoma"/>
          <w:rtl w:val="0"/>
        </w:rPr>
        <w:t xml:space="preserve">, la description des traitements, les obligations de ces sous-traitants y compris en matière de sécurité et de gestion des violations de données sont formalisées au sein de contrats.</w:t>
      </w:r>
    </w:p>
    <w:p w:rsidR="00000000" w:rsidDel="00000000" w:rsidP="00000000" w:rsidRDefault="00000000" w:rsidRPr="00000000" w14:paraId="0000008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8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0">
      <w:pPr>
        <w:pStyle w:val="Heading2"/>
        <w:numPr>
          <w:ilvl w:val="0"/>
          <w:numId w:val="15"/>
        </w:numPr>
        <w:spacing w:after="120" w:before="360" w:line="240" w:lineRule="auto"/>
        <w:ind w:left="2160" w:right="-40.8661417322827" w:hanging="360"/>
        <w:rPr>
          <w:rFonts w:ascii="Tahoma" w:cs="Tahoma" w:eastAsia="Tahoma" w:hAnsi="Tahoma"/>
          <w:color w:val="036287"/>
          <w:sz w:val="28"/>
          <w:szCs w:val="28"/>
        </w:rPr>
      </w:pPr>
      <w:bookmarkStart w:colFirst="0" w:colLast="0" w:name="_8zq9wp5k8nzn" w:id="8"/>
      <w:bookmarkEnd w:id="8"/>
      <w:r w:rsidDel="00000000" w:rsidR="00000000" w:rsidRPr="00000000">
        <w:rPr>
          <w:b w:val="0"/>
          <w:bCs w:val="0"/>
          <w:sz w:val="28"/>
          <w:szCs w:val="28"/>
          <w:rtl w:val="0"/>
        </w:rPr>
        <w:t xml:space="preserve">Destinataires et catégories de destinataires</w:t>
      </w:r>
    </w:p>
    <w:p w:rsidR="00000000" w:rsidDel="00000000" w:rsidP="00000000" w:rsidRDefault="00000000" w:rsidRPr="00000000" w14:paraId="0000009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Sont habilités à obtenir communication des données dans le cadre de la mise en oeuvre de l’entrepôt : </w:t>
      </w:r>
    </w:p>
    <w:p w:rsidR="00000000" w:rsidDel="00000000" w:rsidP="00000000" w:rsidRDefault="00000000" w:rsidRPr="00000000" w14:paraId="00000093">
      <w:pPr>
        <w:numPr>
          <w:ilvl w:val="0"/>
          <w:numId w:val="10"/>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D’une part, les personnes intervenant dans la constitution et la mise en oeuvre de l’entrepôt à savoir : </w:t>
      </w:r>
    </w:p>
    <w:p w:rsidR="00000000" w:rsidDel="00000000" w:rsidP="00000000" w:rsidRDefault="00000000" w:rsidRPr="00000000" w14:paraId="00000094">
      <w:pPr>
        <w:numPr>
          <w:ilvl w:val="1"/>
          <w:numId w:val="4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Au sein du &lt; nom du responsable de traitement &gt;, les équipes techniques et scientifiques qui définissent le périmètre des données, leur format et qui, de manière générale, sont en charge de l’organisation de l’entrepôt ;</w:t>
      </w:r>
    </w:p>
    <w:p w:rsidR="00000000" w:rsidDel="00000000" w:rsidP="00000000" w:rsidRDefault="00000000" w:rsidRPr="00000000" w14:paraId="00000095">
      <w:pPr>
        <w:numPr>
          <w:ilvl w:val="1"/>
          <w:numId w:val="4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sous-traitants du &lt; nom du sous-traitant &gt; tels qu’identifiés au point 1.2.2</w:t>
      </w:r>
    </w:p>
    <w:p w:rsidR="00000000" w:rsidDel="00000000" w:rsidP="00000000" w:rsidRDefault="00000000" w:rsidRPr="00000000" w14:paraId="00000096">
      <w:pPr>
        <w:numPr>
          <w:ilvl w:val="0"/>
          <w:numId w:val="47"/>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D’autre part, l’ensemble des acteurs publics et privés qui réutiliseront les données dans le cadre de recherches, études ou évaluations dans le domaine de la santé sur la plateforme technologique du &lt; nom du responsable de traitement &gt; ou sur des systèmes d’information tiers à condition de réaliser les formalités réglementaires requises. Ces porteurs de projet peuvent être par exemple des établissements de santé, des autorités et institutions publiques, ou encore des associations de patients.</w:t>
      </w:r>
    </w:p>
    <w:p w:rsidR="00000000" w:rsidDel="00000000" w:rsidP="00000000" w:rsidRDefault="00000000" w:rsidRPr="00000000" w14:paraId="00000097">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8">
      <w:pPr>
        <w:spacing w:line="240" w:lineRule="auto"/>
        <w:ind w:right="-40.8661417322827"/>
        <w:rPr>
          <w:rFonts w:ascii="Tahoma" w:cs="Tahoma" w:eastAsia="Tahoma" w:hAnsi="Tahoma"/>
        </w:rPr>
      </w:pPr>
      <w:r w:rsidDel="00000000" w:rsidR="00000000" w:rsidRPr="00000000">
        <w:rPr>
          <w:rFonts w:ascii="Tahoma" w:cs="Tahoma" w:eastAsia="Tahoma" w:hAnsi="Tahoma"/>
          <w:rtl w:val="0"/>
        </w:rPr>
        <w:t xml:space="preserve">Une procédure de gestion des habilitations et des accès logiques aux données sera mise en place pour chacun de ces destinataires. </w:t>
      </w:r>
    </w:p>
    <w:p w:rsidR="00000000" w:rsidDel="00000000" w:rsidP="00000000" w:rsidRDefault="00000000" w:rsidRPr="00000000" w14:paraId="0000009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A">
      <w:pPr>
        <w:pStyle w:val="Heading2"/>
        <w:numPr>
          <w:ilvl w:val="0"/>
          <w:numId w:val="49"/>
        </w:numPr>
        <w:spacing w:after="120" w:before="360" w:line="240" w:lineRule="auto"/>
        <w:ind w:left="2160" w:right="-40.8661417322827" w:hanging="360"/>
        <w:rPr>
          <w:rFonts w:ascii="Tahoma" w:cs="Tahoma" w:eastAsia="Tahoma" w:hAnsi="Tahoma"/>
          <w:color w:val="036287"/>
          <w:sz w:val="28"/>
          <w:szCs w:val="28"/>
        </w:rPr>
      </w:pPr>
      <w:bookmarkStart w:colFirst="0" w:colLast="0" w:name="_3dy6vkm" w:id="9"/>
      <w:bookmarkEnd w:id="9"/>
      <w:r w:rsidDel="00000000" w:rsidR="00000000" w:rsidRPr="00000000">
        <w:rPr>
          <w:b w:val="0"/>
          <w:bCs w:val="0"/>
          <w:sz w:val="28"/>
          <w:szCs w:val="28"/>
          <w:rtl w:val="0"/>
        </w:rPr>
        <w:t xml:space="preserve">Gouvernance</w:t>
      </w:r>
    </w:p>
    <w:p w:rsidR="00000000" w:rsidDel="00000000" w:rsidP="00000000" w:rsidRDefault="00000000" w:rsidRPr="00000000" w14:paraId="0000009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Afin de vérifier le respect des finalités poursuivies, le &lt; nom du responsable de traitement &gt;, au titre de responsable de traitement de l’entrepôt, met en œuvre une gouvernance structurée autour de deux instances :</w:t>
      </w:r>
    </w:p>
    <w:p w:rsidR="00000000" w:rsidDel="00000000" w:rsidP="00000000" w:rsidRDefault="00000000" w:rsidRPr="00000000" w14:paraId="0000009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9E">
      <w:pPr>
        <w:numPr>
          <w:ilvl w:val="0"/>
          <w:numId w:val="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première instance (comité de pilotage ou équivalent) est chargée de définir les orientations scientifiques et stratégiques de l’entrepôt. Ce dernier rassemble au moins un représentant du &lt; nom du responsable de traitement &gt; et un représentant de chaque fournisseur de données :</w:t>
      </w:r>
    </w:p>
    <w:p w:rsidR="00000000" w:rsidDel="00000000" w:rsidP="00000000" w:rsidRDefault="00000000" w:rsidRPr="00000000" w14:paraId="0000009F">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A0">
      <w:pPr>
        <w:numPr>
          <w:ilvl w:val="0"/>
          <w:numId w:val="23"/>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du responsable de traitement &gt; : Directeur du &lt; nom du responsable de traitement &gt; ou son représentant ; </w:t>
      </w:r>
    </w:p>
    <w:p w:rsidR="00000000" w:rsidDel="00000000" w:rsidP="00000000" w:rsidRDefault="00000000" w:rsidRPr="00000000" w14:paraId="000000A1">
      <w:pPr>
        <w:numPr>
          <w:ilvl w:val="0"/>
          <w:numId w:val="23"/>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(A définir) ;</w:t>
      </w:r>
    </w:p>
    <w:p w:rsidR="00000000" w:rsidDel="00000000" w:rsidP="00000000" w:rsidRDefault="00000000" w:rsidRPr="00000000" w14:paraId="000000A2">
      <w:pPr>
        <w:numPr>
          <w:ilvl w:val="0"/>
          <w:numId w:val="23"/>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Directeur des Systèmes d’Information ;</w:t>
      </w:r>
    </w:p>
    <w:p w:rsidR="00000000" w:rsidDel="00000000" w:rsidP="00000000" w:rsidRDefault="00000000" w:rsidRPr="00000000" w14:paraId="000000A3">
      <w:pPr>
        <w:numPr>
          <w:ilvl w:val="0"/>
          <w:numId w:val="23"/>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Directeur Général (ou son représentant) ;</w:t>
      </w:r>
    </w:p>
    <w:p w:rsidR="00000000" w:rsidDel="00000000" w:rsidP="00000000" w:rsidRDefault="00000000" w:rsidRPr="00000000" w14:paraId="000000A4">
      <w:pPr>
        <w:numPr>
          <w:ilvl w:val="0"/>
          <w:numId w:val="23"/>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PU-PH Epidémiologie et Santé Publique. </w:t>
      </w:r>
    </w:p>
    <w:p w:rsidR="00000000" w:rsidDel="00000000" w:rsidP="00000000" w:rsidRDefault="00000000" w:rsidRPr="00000000" w14:paraId="000000A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A6">
      <w:pPr>
        <w:spacing w:line="240" w:lineRule="auto"/>
        <w:ind w:left="720" w:right="-40.8661417322827" w:firstLine="0"/>
        <w:jc w:val="both"/>
        <w:rPr>
          <w:rFonts w:ascii="Tahoma" w:cs="Tahoma" w:eastAsia="Tahoma" w:hAnsi="Tahoma"/>
        </w:rPr>
      </w:pPr>
      <w:r w:rsidDel="00000000" w:rsidR="00000000" w:rsidRPr="00000000">
        <w:rPr>
          <w:rFonts w:ascii="Tahoma" w:cs="Tahoma" w:eastAsia="Tahoma" w:hAnsi="Tahoma"/>
          <w:rtl w:val="0"/>
        </w:rPr>
        <w:t xml:space="preserve">Ce comité a en outre pour mission de tenir une liste exhaustive des données présentes dans l’entrepôt et de justifier leur nécessité. Il réévalue régulièrement, au regard de l’utilisation qui en est faite pour les divers projets menés, la pertinence des données comprises dans l’EDS ; les données n’apparaissant plus nécessaires selon le comité sont supprimées.</w:t>
      </w:r>
    </w:p>
    <w:p w:rsidR="00000000" w:rsidDel="00000000" w:rsidP="00000000" w:rsidRDefault="00000000" w:rsidRPr="00000000" w14:paraId="000000A7">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A8">
      <w:pPr>
        <w:numPr>
          <w:ilvl w:val="0"/>
          <w:numId w:val="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seconde instance (comité scientifique et éthique ou équivalent) est chargée de rendre de manière systématique, un avis préalable et motivé sur les propositions de projets nécessitant la réutilisation des données de l’entrepôt. </w:t>
      </w:r>
    </w:p>
    <w:p w:rsidR="00000000" w:rsidDel="00000000" w:rsidP="00000000" w:rsidRDefault="00000000" w:rsidRPr="00000000" w14:paraId="000000A9">
      <w:pPr>
        <w:spacing w:line="240" w:lineRule="auto"/>
        <w:ind w:left="720" w:right="-40.8661417322827" w:firstLine="0"/>
        <w:jc w:val="both"/>
        <w:rPr>
          <w:rFonts w:ascii="Tahoma" w:cs="Tahoma" w:eastAsia="Tahoma" w:hAnsi="Tahoma"/>
        </w:rPr>
      </w:pPr>
      <w:r w:rsidDel="00000000" w:rsidR="00000000" w:rsidRPr="00000000">
        <w:rPr>
          <w:rFonts w:ascii="Tahoma" w:cs="Tahoma" w:eastAsia="Tahoma" w:hAnsi="Tahoma"/>
          <w:rtl w:val="0"/>
        </w:rPr>
        <w:t xml:space="preserve">A l’instar du comité éthique et scientifique pour les recherches, les études et les évaluations dans le domaine de la santé (CESREES), ce comité peut être amené à se prononcer sur la méthodologie retenue, sur la nécessité du recours à des données à caractère personnel, sur la pertinence de celles-ci par rapport à la finalité du traitement et, s'il y a lieu, sur la pertinence scientifique et éthique des projets nécessitant la réutilisation des données de l’entrepôt. Par ailleurs,</w:t>
      </w:r>
      <w:r w:rsidDel="00000000" w:rsidR="00000000" w:rsidRPr="00000000">
        <w:rPr>
          <w:rFonts w:ascii="Tahoma" w:cs="Tahoma" w:eastAsia="Tahoma" w:hAnsi="Tahoma"/>
          <w:color w:val="1d1c1d"/>
          <w:highlight w:val="white"/>
          <w:rtl w:val="0"/>
        </w:rPr>
        <w:t xml:space="preserve"> </w:t>
      </w:r>
      <w:r w:rsidDel="00000000" w:rsidR="00000000" w:rsidRPr="00000000">
        <w:rPr>
          <w:rFonts w:ascii="Tahoma" w:cs="Tahoma" w:eastAsia="Tahoma" w:hAnsi="Tahoma"/>
          <w:highlight w:val="white"/>
          <w:rtl w:val="0"/>
        </w:rPr>
        <w:t xml:space="preserve">le Comité prend acte de la justification du caractère d’intérêt public que présente l'étude, apportée par le porteur de projet dans le cadre des éléments soumis par ce dernier. Il s’assure également que la demande soumise justifie, pour chaque catégorie de données de l’EDS, la nécessité de les traiter.</w:t>
      </w:r>
      <w:r w:rsidDel="00000000" w:rsidR="00000000" w:rsidRPr="00000000">
        <w:rPr>
          <w:rtl w:val="0"/>
        </w:rPr>
      </w:r>
    </w:p>
    <w:p w:rsidR="00000000" w:rsidDel="00000000" w:rsidP="00000000" w:rsidRDefault="00000000" w:rsidRPr="00000000" w14:paraId="000000AA">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AB">
      <w:pPr>
        <w:spacing w:line="240" w:lineRule="auto"/>
        <w:ind w:left="720" w:right="-40.8661417322827" w:firstLine="0"/>
        <w:jc w:val="both"/>
        <w:rPr>
          <w:rFonts w:ascii="Tahoma" w:cs="Tahoma" w:eastAsia="Tahoma" w:hAnsi="Tahoma"/>
        </w:rPr>
      </w:pPr>
      <w:r w:rsidDel="00000000" w:rsidR="00000000" w:rsidRPr="00000000">
        <w:rPr>
          <w:rFonts w:ascii="Tahoma" w:cs="Tahoma" w:eastAsia="Tahoma" w:hAnsi="Tahoma"/>
          <w:rtl w:val="0"/>
        </w:rPr>
        <w:t xml:space="preserve">Ce comité est composé de manière à garantir la diversité des compétences en matière de recherche dans les domaines de la santé et notamment celles de la base principale du SNDS.</w:t>
      </w:r>
    </w:p>
    <w:p w:rsidR="00000000" w:rsidDel="00000000" w:rsidP="00000000" w:rsidRDefault="00000000" w:rsidRPr="00000000" w14:paraId="000000AC">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AD">
      <w:pPr>
        <w:spacing w:line="240" w:lineRule="auto"/>
        <w:ind w:left="720" w:right="-40.8661417322827" w:firstLine="0"/>
        <w:jc w:val="both"/>
        <w:rPr>
          <w:rFonts w:ascii="Tahoma" w:cs="Tahoma" w:eastAsia="Tahoma" w:hAnsi="Tahoma"/>
        </w:rPr>
      </w:pPr>
      <w:r w:rsidDel="00000000" w:rsidR="00000000" w:rsidRPr="00000000">
        <w:rPr>
          <w:rFonts w:ascii="Tahoma" w:cs="Tahoma" w:eastAsia="Tahoma" w:hAnsi="Tahoma"/>
          <w:rtl w:val="0"/>
        </w:rPr>
        <w:t xml:space="preserve">Il comporte en son sein au moins :</w:t>
      </w:r>
    </w:p>
    <w:p w:rsidR="00000000" w:rsidDel="00000000" w:rsidP="00000000" w:rsidRDefault="00000000" w:rsidRPr="00000000" w14:paraId="000000AE">
      <w:pPr>
        <w:numPr>
          <w:ilvl w:val="0"/>
          <w:numId w:val="19"/>
        </w:numPr>
        <w:spacing w:line="240" w:lineRule="auto"/>
        <w:ind w:left="1440" w:right="-40.8661417322827" w:hanging="360"/>
        <w:jc w:val="both"/>
        <w:rPr>
          <w:highlight w:val="white"/>
        </w:rPr>
      </w:pPr>
      <w:r w:rsidDel="00000000" w:rsidR="00000000" w:rsidRPr="00000000">
        <w:rPr>
          <w:rFonts w:ascii="Tahoma" w:cs="Tahoma" w:eastAsia="Tahoma" w:hAnsi="Tahoma"/>
          <w:highlight w:val="white"/>
          <w:rtl w:val="0"/>
        </w:rPr>
        <w:t xml:space="preserve">un représentant d'associations de malades ou d'usagers du système de santé agréées désignés au titre des </w:t>
      </w:r>
      <w:hyperlink r:id="rId11">
        <w:r w:rsidDel="00000000" w:rsidR="00000000" w:rsidRPr="00000000">
          <w:rPr>
            <w:rFonts w:ascii="Tahoma" w:cs="Tahoma" w:eastAsia="Tahoma" w:hAnsi="Tahoma"/>
            <w:color w:val="4a5e81"/>
            <w:highlight w:val="white"/>
            <w:u w:val="single"/>
            <w:rtl w:val="0"/>
          </w:rPr>
          <w:t xml:space="preserve">dispositions de l'article L. 1114-1 du code de la santé publique</w:t>
        </w:r>
      </w:hyperlink>
      <w:r w:rsidDel="00000000" w:rsidR="00000000" w:rsidRPr="00000000">
        <w:rPr>
          <w:rFonts w:ascii="Tahoma" w:cs="Tahoma" w:eastAsia="Tahoma" w:hAnsi="Tahoma"/>
          <w:rtl w:val="0"/>
        </w:rPr>
        <w:t xml:space="preserve"> ;</w:t>
      </w:r>
      <w:r w:rsidDel="00000000" w:rsidR="00000000" w:rsidRPr="00000000">
        <w:rPr>
          <w:rtl w:val="0"/>
        </w:rPr>
      </w:r>
    </w:p>
    <w:p w:rsidR="00000000" w:rsidDel="00000000" w:rsidP="00000000" w:rsidRDefault="00000000" w:rsidRPr="00000000" w14:paraId="000000AF">
      <w:pPr>
        <w:numPr>
          <w:ilvl w:val="0"/>
          <w:numId w:val="19"/>
        </w:numPr>
        <w:spacing w:line="240" w:lineRule="auto"/>
        <w:ind w:left="1440" w:right="-40.8661417322827" w:hanging="360"/>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une personne impliquée dans l’éthique en santé ;</w:t>
      </w:r>
    </w:p>
    <w:p w:rsidR="00000000" w:rsidDel="00000000" w:rsidP="00000000" w:rsidRDefault="00000000" w:rsidRPr="00000000" w14:paraId="000000B0">
      <w:pPr>
        <w:numPr>
          <w:ilvl w:val="0"/>
          <w:numId w:val="19"/>
        </w:numPr>
        <w:spacing w:line="240" w:lineRule="auto"/>
        <w:ind w:left="1440" w:right="-40.8661417322827" w:hanging="360"/>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une personne indépendante du responsable de traitement (par exemple : non salariée) ;</w:t>
      </w:r>
    </w:p>
    <w:p w:rsidR="00000000" w:rsidDel="00000000" w:rsidP="00000000" w:rsidRDefault="00000000" w:rsidRPr="00000000" w14:paraId="000000B1">
      <w:pPr>
        <w:numPr>
          <w:ilvl w:val="0"/>
          <w:numId w:val="19"/>
        </w:numPr>
        <w:spacing w:line="240" w:lineRule="auto"/>
        <w:ind w:left="1440" w:right="-40.8661417322827" w:hanging="360"/>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des professionnels de santé et professionnels médico-sociaux, notamment désignés par les fournisseurs de données ;</w:t>
      </w:r>
    </w:p>
    <w:p w:rsidR="00000000" w:rsidDel="00000000" w:rsidP="00000000" w:rsidRDefault="00000000" w:rsidRPr="00000000" w14:paraId="000000B2">
      <w:pPr>
        <w:numPr>
          <w:ilvl w:val="0"/>
          <w:numId w:val="19"/>
        </w:numPr>
        <w:spacing w:line="240" w:lineRule="auto"/>
        <w:ind w:left="1440" w:right="-40.8661417322827" w:hanging="360"/>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des chercheurs ou experts notamment dans le traitement des données de la base principale du SNDS.</w:t>
      </w:r>
    </w:p>
    <w:p w:rsidR="00000000" w:rsidDel="00000000" w:rsidP="00000000" w:rsidRDefault="00000000" w:rsidRPr="00000000" w14:paraId="000000B3">
      <w:pPr>
        <w:spacing w:line="240" w:lineRule="auto"/>
        <w:ind w:left="708.661417322834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4">
      <w:pPr>
        <w:spacing w:line="240" w:lineRule="auto"/>
        <w:ind w:left="708.6614173228347" w:right="-40.8661417322827" w:firstLine="0"/>
        <w:jc w:val="both"/>
        <w:rPr>
          <w:rFonts w:ascii="Tahoma" w:cs="Tahoma" w:eastAsia="Tahoma" w:hAnsi="Tahoma"/>
        </w:rPr>
      </w:pPr>
      <w:r w:rsidDel="00000000" w:rsidR="00000000" w:rsidRPr="00000000">
        <w:rPr>
          <w:rFonts w:ascii="Tahoma" w:cs="Tahoma" w:eastAsia="Tahoma" w:hAnsi="Tahoma"/>
          <w:rtl w:val="0"/>
        </w:rPr>
        <w:t xml:space="preserve">Les profils identifiés au sein des &lt; nom du fournisseur de données &gt; sont les suivants : </w:t>
      </w:r>
    </w:p>
    <w:p w:rsidR="00000000" w:rsidDel="00000000" w:rsidP="00000000" w:rsidRDefault="00000000" w:rsidRPr="00000000" w14:paraId="000000B5">
      <w:pPr>
        <w:numPr>
          <w:ilvl w:val="0"/>
          <w:numId w:val="19"/>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(A définir) ;</w:t>
      </w:r>
    </w:p>
    <w:p w:rsidR="00000000" w:rsidDel="00000000" w:rsidP="00000000" w:rsidRDefault="00000000" w:rsidRPr="00000000" w14:paraId="000000B6">
      <w:pPr>
        <w:numPr>
          <w:ilvl w:val="0"/>
          <w:numId w:val="19"/>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Médecin Référent Data ;</w:t>
      </w:r>
    </w:p>
    <w:p w:rsidR="00000000" w:rsidDel="00000000" w:rsidP="00000000" w:rsidRDefault="00000000" w:rsidRPr="00000000" w14:paraId="000000B7">
      <w:pPr>
        <w:numPr>
          <w:ilvl w:val="0"/>
          <w:numId w:val="19"/>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&lt; nom de l’établissement de santé  &gt; : Représentants de la Direction Information Médicale et Intelligence des Données, Direction Recherche Innovation Formation</w:t>
      </w:r>
    </w:p>
    <w:p w:rsidR="00000000" w:rsidDel="00000000" w:rsidP="00000000" w:rsidRDefault="00000000" w:rsidRPr="00000000" w14:paraId="000000B8">
      <w:pPr>
        <w:numPr>
          <w:ilvl w:val="0"/>
          <w:numId w:val="19"/>
        </w:numPr>
        <w:spacing w:line="240" w:lineRule="auto"/>
        <w:ind w:left="1440" w:right="-40.8661417322827" w:hanging="360"/>
        <w:jc w:val="both"/>
        <w:rPr>
          <w:rFonts w:ascii="Tahoma" w:cs="Tahoma" w:eastAsia="Tahoma" w:hAnsi="Tahoma"/>
          <w:highlight w:val="white"/>
        </w:rPr>
      </w:pPr>
      <w:r w:rsidDel="00000000" w:rsidR="00000000" w:rsidRPr="00000000">
        <w:rPr>
          <w:rFonts w:ascii="Tahoma" w:cs="Tahoma" w:eastAsia="Tahoma" w:hAnsi="Tahoma"/>
          <w:rtl w:val="0"/>
        </w:rPr>
        <w:t xml:space="preserve">&lt; nom de l’établissement de santé  &gt;</w:t>
      </w:r>
      <w:r w:rsidDel="00000000" w:rsidR="00000000" w:rsidRPr="00000000">
        <w:rPr>
          <w:rFonts w:ascii="Tahoma" w:cs="Tahoma" w:eastAsia="Tahoma" w:hAnsi="Tahoma"/>
          <w:highlight w:val="white"/>
          <w:rtl w:val="0"/>
        </w:rPr>
        <w:t xml:space="preserve"> : maître de conférences des universités-praticien hospitalier Information Médicale</w:t>
      </w:r>
    </w:p>
    <w:p w:rsidR="00000000" w:rsidDel="00000000" w:rsidP="00000000" w:rsidRDefault="00000000" w:rsidRPr="00000000" w14:paraId="000000B9">
      <w:pPr>
        <w:spacing w:line="240" w:lineRule="auto"/>
        <w:ind w:left="708.661417322834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A">
      <w:pPr>
        <w:spacing w:line="240" w:lineRule="auto"/>
        <w:ind w:left="708.6614173228347" w:right="-40.8661417322827" w:firstLine="0"/>
        <w:jc w:val="both"/>
        <w:rPr>
          <w:rFonts w:ascii="Tahoma" w:cs="Tahoma" w:eastAsia="Tahoma" w:hAnsi="Tahoma"/>
        </w:rPr>
      </w:pPr>
      <w:r w:rsidDel="00000000" w:rsidR="00000000" w:rsidRPr="00000000">
        <w:rPr>
          <w:rFonts w:ascii="Tahoma" w:cs="Tahoma" w:eastAsia="Tahoma" w:hAnsi="Tahoma"/>
          <w:rtl w:val="0"/>
        </w:rPr>
        <w:t xml:space="preserve">Pour les projets ne nécessitant pas d’autorisations de la CNIL (relevant par exemple de la méthodologie MR-004), </w:t>
      </w:r>
      <w:r w:rsidDel="00000000" w:rsidR="00000000" w:rsidRPr="00000000">
        <w:rPr>
          <w:rFonts w:ascii="Tahoma" w:cs="Tahoma" w:eastAsia="Tahoma" w:hAnsi="Tahoma"/>
          <w:highlight w:val="white"/>
          <w:rtl w:val="0"/>
        </w:rPr>
        <w:t xml:space="preserve">l’avis favorable du seul comité scientifique et éthique de l’entrepôt permet d’avoir recours aux données de l’entrepôt sur le périmètre défini dans le protocole scientifique du projet. </w:t>
      </w:r>
      <w:r w:rsidDel="00000000" w:rsidR="00000000" w:rsidRPr="00000000">
        <w:rPr>
          <w:rFonts w:ascii="Tahoma" w:cs="Tahoma" w:eastAsia="Tahoma" w:hAnsi="Tahoma"/>
          <w:rtl w:val="0"/>
        </w:rPr>
        <w:t xml:space="preserve">L’avis formalisé est communiqué sans délai au porteur de projet souhaitant réutiliser les données de l’entrepôt. </w:t>
      </w:r>
    </w:p>
    <w:p w:rsidR="00000000" w:rsidDel="00000000" w:rsidP="00000000" w:rsidRDefault="00000000" w:rsidRPr="00000000" w14:paraId="000000BB">
      <w:pPr>
        <w:spacing w:line="240" w:lineRule="auto"/>
        <w:ind w:left="708.661417322834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C">
      <w:pPr>
        <w:spacing w:line="240" w:lineRule="auto"/>
        <w:ind w:left="708.6614173228347" w:right="-40.8661417322827" w:firstLine="0"/>
        <w:jc w:val="both"/>
        <w:rPr>
          <w:rFonts w:ascii="Tahoma" w:cs="Tahoma" w:eastAsia="Tahoma" w:hAnsi="Tahoma"/>
        </w:rPr>
      </w:pPr>
      <w:r w:rsidDel="00000000" w:rsidR="00000000" w:rsidRPr="00000000">
        <w:rPr>
          <w:rFonts w:ascii="Tahoma" w:cs="Tahoma" w:eastAsia="Tahoma" w:hAnsi="Tahoma"/>
          <w:rtl w:val="0"/>
        </w:rPr>
        <w:t xml:space="preserve">Pour les projets nécessitant une autorisation de la CNIL, ces derniers doivent faire l’objet d’un avis du CESREES avant soumission à la Commission, l’avis formulé par le comité scientifique et éthique de l’EDS faisant partie des pièces constitutives du dossier à soumettre auprès du HDH, au titre de sa mission de guichet unique.</w:t>
      </w:r>
    </w:p>
    <w:p w:rsidR="00000000" w:rsidDel="00000000" w:rsidP="00000000" w:rsidRDefault="00000000" w:rsidRPr="00000000" w14:paraId="000000BD">
      <w:pPr>
        <w:spacing w:line="240" w:lineRule="auto"/>
        <w:ind w:left="708.661417322834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BE">
      <w:pPr>
        <w:spacing w:line="240" w:lineRule="auto"/>
        <w:ind w:left="708.6614173228347" w:right="-40.8661417322827" w:firstLine="0"/>
        <w:jc w:val="both"/>
        <w:rPr>
          <w:rFonts w:ascii="Tahoma" w:cs="Tahoma" w:eastAsia="Tahoma" w:hAnsi="Tahoma"/>
        </w:rPr>
      </w:pPr>
      <w:r w:rsidDel="00000000" w:rsidR="00000000" w:rsidRPr="00000000">
        <w:rPr>
          <w:rFonts w:ascii="Tahoma" w:cs="Tahoma" w:eastAsia="Tahoma" w:hAnsi="Tahoma"/>
          <w:rtl w:val="0"/>
        </w:rPr>
        <w:t xml:space="preserve">Une liste des traitements sur lesquels ce comité s’est prononcé est communiquée de façon périodique, au moins une fois par an, au délégué à la protection des données du responsable de traitement. </w:t>
      </w:r>
    </w:p>
    <w:p w:rsidR="00000000" w:rsidDel="00000000" w:rsidP="00000000" w:rsidRDefault="00000000" w:rsidRPr="00000000" w14:paraId="000000BF">
      <w:pPr>
        <w:spacing w:line="240" w:lineRule="auto"/>
        <w:ind w:left="708.661417322834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C0">
      <w:pPr>
        <w:spacing w:line="240" w:lineRule="auto"/>
        <w:ind w:left="708.6614173228347" w:right="-40.8661417322827" w:firstLine="0"/>
        <w:jc w:val="both"/>
        <w:rPr>
          <w:rFonts w:ascii="Tahoma" w:cs="Tahoma" w:eastAsia="Tahoma" w:hAnsi="Tahoma"/>
        </w:rPr>
      </w:pPr>
      <w:r w:rsidDel="00000000" w:rsidR="00000000" w:rsidRPr="00000000">
        <w:rPr>
          <w:rFonts w:ascii="Tahoma" w:cs="Tahoma" w:eastAsia="Tahoma" w:hAnsi="Tahoma"/>
          <w:rtl w:val="0"/>
        </w:rPr>
        <w:t xml:space="preserve">Pour les traitements visant à réutiliser les données de l’EDS à des fins de recherches, d’études ou d’évaluation, le comité peut choisir, pour certains dossiers qui portent sur des catégories de données et de destinataires identiques, de rendre un avis unique.</w:t>
      </w:r>
    </w:p>
    <w:p w:rsidR="00000000" w:rsidDel="00000000" w:rsidP="00000000" w:rsidRDefault="00000000" w:rsidRPr="00000000" w14:paraId="000000C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C2">
      <w:pPr>
        <w:pStyle w:val="Heading1"/>
        <w:numPr>
          <w:ilvl w:val="0"/>
          <w:numId w:val="7"/>
        </w:numPr>
        <w:spacing w:after="120" w:lineRule="auto"/>
        <w:ind w:right="-40.8661417322827"/>
        <w:jc w:val="left"/>
        <w:rPr>
          <w:rFonts w:ascii="Tahoma" w:cs="Tahoma" w:eastAsia="Tahoma" w:hAnsi="Tahoma"/>
          <w:b w:val="1"/>
          <w:bCs w:val="1"/>
          <w:color w:val="036287"/>
          <w:sz w:val="36"/>
          <w:szCs w:val="36"/>
        </w:rPr>
      </w:pPr>
      <w:bookmarkStart w:colFirst="0" w:colLast="0" w:name="_gfgy181t7uwx" w:id="10"/>
      <w:bookmarkEnd w:id="10"/>
      <w:r w:rsidDel="00000000" w:rsidR="00000000" w:rsidRPr="00000000">
        <w:rPr>
          <w:sz w:val="36"/>
          <w:szCs w:val="36"/>
          <w:rtl w:val="0"/>
        </w:rPr>
        <w:t xml:space="preserve">Objectifs et finalités</w:t>
      </w:r>
    </w:p>
    <w:p w:rsidR="00000000" w:rsidDel="00000000" w:rsidP="00000000" w:rsidRDefault="00000000" w:rsidRPr="00000000" w14:paraId="000000C3">
      <w:pPr>
        <w:pStyle w:val="Heading1"/>
        <w:spacing w:after="120" w:lineRule="auto"/>
        <w:ind w:left="1440" w:right="-40.8661417322827" w:firstLine="0"/>
        <w:jc w:val="left"/>
        <w:rPr>
          <w:sz w:val="22"/>
          <w:szCs w:val="22"/>
        </w:rPr>
      </w:pPr>
      <w:bookmarkStart w:colFirst="0" w:colLast="0" w:name="_qoix5jo00lae" w:id="11"/>
      <w:bookmarkEnd w:id="11"/>
      <w:r w:rsidDel="00000000" w:rsidR="00000000" w:rsidRPr="00000000">
        <w:rPr>
          <w:rtl w:val="0"/>
        </w:rPr>
      </w:r>
    </w:p>
    <w:p w:rsidR="00000000" w:rsidDel="00000000" w:rsidP="00000000" w:rsidRDefault="00000000" w:rsidRPr="00000000" w14:paraId="000000C4">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4j6hkh5a3c3" w:id="12"/>
      <w:bookmarkEnd w:id="12"/>
      <w:r w:rsidDel="00000000" w:rsidR="00000000" w:rsidRPr="00000000">
        <w:rPr>
          <w:b w:val="0"/>
          <w:bCs w:val="0"/>
          <w:sz w:val="28"/>
          <w:szCs w:val="28"/>
          <w:rtl w:val="0"/>
        </w:rPr>
        <w:t xml:space="preserve">Contexte, objectifs et justification de l’EDS</w:t>
      </w:r>
    </w:p>
    <w:p w:rsidR="00000000" w:rsidDel="00000000" w:rsidP="00000000" w:rsidRDefault="00000000" w:rsidRPr="00000000" w14:paraId="000000C5">
      <w:pPr>
        <w:pStyle w:val="Heading2"/>
        <w:spacing w:after="120" w:before="360" w:line="240" w:lineRule="auto"/>
        <w:ind w:left="1440" w:right="-40.8661417322827" w:firstLine="0"/>
        <w:rPr>
          <w:b w:val="0"/>
          <w:bCs w:val="0"/>
          <w:sz w:val="22"/>
          <w:szCs w:val="22"/>
        </w:rPr>
      </w:pPr>
      <w:bookmarkStart w:colFirst="0" w:colLast="0" w:name="_9fw1lxsoqykd" w:id="13"/>
      <w:bookmarkEnd w:id="13"/>
      <w:r w:rsidDel="00000000" w:rsidR="00000000" w:rsidRPr="00000000">
        <w:rPr>
          <w:rtl w:val="0"/>
        </w:rPr>
      </w:r>
    </w:p>
    <w:p w:rsidR="00000000" w:rsidDel="00000000" w:rsidP="00000000" w:rsidRDefault="00000000" w:rsidRPr="00000000" w14:paraId="000000C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constitution d’un entrepôt de données hospitalières multicentriques est un enjeu majeur pour le développement de la recherche “en vie réelle” en France. Au sein du &lt; nom du responsable de traitement &gt;, le &lt; nom de l'entrepôt &gt; regroupe des données cliniques et paracliniques liées à la prise en charge intra-hospitalière des patients, enrichies des données de la base principale du SNDS, ouvrant de nouvelles perspectives pour la recherche en santé.</w:t>
      </w:r>
    </w:p>
    <w:p w:rsidR="00000000" w:rsidDel="00000000" w:rsidP="00000000" w:rsidRDefault="00000000" w:rsidRPr="00000000" w14:paraId="000000C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&lt;description détaillée de l’intérêt de l’EDS &gt;</w:t>
      </w:r>
    </w:p>
    <w:p w:rsidR="00000000" w:rsidDel="00000000" w:rsidP="00000000" w:rsidRDefault="00000000" w:rsidRPr="00000000" w14:paraId="000000C8">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base principale du SNDS est un système de bases de données médico-administratives parmi les plus volumineuses du monde, liées aux remboursements des actes et des soins des bénéficiaires de l’ensemble des régimes d’assurance maladie obligatoire. Il présente un intérêt majeur pour la recherche et l'innovation en santé en France notamment dans les domaines épidémiologique, médico-économique et pharmacologique. </w:t>
      </w:r>
    </w:p>
    <w:p w:rsidR="00000000" w:rsidDel="00000000" w:rsidP="00000000" w:rsidRDefault="00000000" w:rsidRPr="00000000" w14:paraId="000000C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Néanmoins, l’absence de données cliniques ou de données sur les résultats des examens complémentaires au sein de la base principale du SNDS limite la portée de nombreuses études, en particulier en pharmaco-épidémiologie ou en pharmacovigilance. Le &lt; nom de l'entrepôt &gt; vise à combler - au moins en partie - ce manque en appariant données cliniques et paracliniques fournies par quatre établissements de santé français avec les données individuelles de la base principale du SNDS pour les patients concernés, complétées d’un échantillon de la base principale du SNDS afin de pouvoir mener des analyses comparatives en population générale. </w:t>
      </w:r>
    </w:p>
    <w:p w:rsidR="00000000" w:rsidDel="00000000" w:rsidP="00000000" w:rsidRDefault="00000000" w:rsidRPr="00000000" w14:paraId="000000C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C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mise en œuvre de &lt; nom de l'entrepôt &gt; a pour finalité de permettre à tout responsable de traitement réalisant les formalités adéquates de réutiliser les données qu’il contient. Il s’agira en particulier de la conduite d’études d’intérêt public de différentes natures telles que : </w:t>
      </w:r>
    </w:p>
    <w:p w:rsidR="00000000" w:rsidDel="00000000" w:rsidP="00000000" w:rsidRDefault="00000000" w:rsidRPr="00000000" w14:paraId="000000CC">
      <w:pPr>
        <w:numPr>
          <w:ilvl w:val="0"/>
          <w:numId w:val="1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observation et évaluation de la prise en charge des patients,</w:t>
      </w:r>
    </w:p>
    <w:p w:rsidR="00000000" w:rsidDel="00000000" w:rsidP="00000000" w:rsidRDefault="00000000" w:rsidRPr="00000000" w14:paraId="000000CD">
      <w:pPr>
        <w:numPr>
          <w:ilvl w:val="0"/>
          <w:numId w:val="1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caractérisation des populations de patients,</w:t>
      </w:r>
    </w:p>
    <w:p w:rsidR="00000000" w:rsidDel="00000000" w:rsidP="00000000" w:rsidRDefault="00000000" w:rsidRPr="00000000" w14:paraId="000000CE">
      <w:pPr>
        <w:numPr>
          <w:ilvl w:val="0"/>
          <w:numId w:val="1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évaluation de l'utilisation, de l’efficacité et de la sécurité en vie réelle (hôpital et ville) des produits de santé (en particulier médicaments inscrits au remboursement ou en accès précoce et dispositifs médicaux (DM)),</w:t>
      </w:r>
    </w:p>
    <w:p w:rsidR="00000000" w:rsidDel="00000000" w:rsidP="00000000" w:rsidRDefault="00000000" w:rsidRPr="00000000" w14:paraId="000000CF">
      <w:pPr>
        <w:numPr>
          <w:ilvl w:val="0"/>
          <w:numId w:val="1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évaluation médico-économique de l’impact des produits de santé administrés (médicaments) ou utilisés (DM) en vie réelle,</w:t>
      </w:r>
    </w:p>
    <w:p w:rsidR="00000000" w:rsidDel="00000000" w:rsidP="00000000" w:rsidRDefault="00000000" w:rsidRPr="00000000" w14:paraId="000000D0">
      <w:pPr>
        <w:numPr>
          <w:ilvl w:val="0"/>
          <w:numId w:val="1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développement d’actions de prévention pour les pathologies d’intérêt.</w:t>
      </w:r>
    </w:p>
    <w:p w:rsidR="00000000" w:rsidDel="00000000" w:rsidP="00000000" w:rsidRDefault="00000000" w:rsidRPr="00000000" w14:paraId="000000D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D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liste précédente n’est pas complète : elle a été déterminée au regard des problématiques d’importance identifiées par les établissements hospitaliers partenaires. De façon plus exhaustive, le &lt; nom de l'entrepôt &gt; sera ouvert à toute réutilisation des données dans une finalité d’intérêt public et pour lequel son périmètre est pertinent : contribuer à la recherche, aux études, à l’évaluation et à l’innovation dans les domaines de la santé et de la prise en charge médico-sociale.</w:t>
      </w:r>
    </w:p>
    <w:p w:rsidR="00000000" w:rsidDel="00000000" w:rsidP="00000000" w:rsidRDefault="00000000" w:rsidRPr="00000000" w14:paraId="000000D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D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Par rapport à des études équivalentes conduites sur la base principale du SNDS seule, le &lt; nom de l'entrepôt &gt; permettra des analyses sur des sous-groupes de patients non identifiables à partir des seules données PMSI mais repérables à partir des critères cliniques ou paracliniques transmis par les 4 établissements de santé. Par exemple, pour de nombreuses pathologies chroniques, le PMSI (via la caractérisation CIM-10 des diagnostics lors des séjours hospitaliers) ne permet pas de différencier les patients selon la sévérité de la maladie (insuffisance cardiaque chronique, insuffisance rénale chronique, etc.). Les données cliniques ou les résultats d’examens fournis par les 4 établissements de santé de &lt; nom de l'entrepôt &gt; permettront de segmenter les analyses par sous-groupes de patients selon différents stades de sévérité des pathologies chroniques, et ainsi d’affiner les études. </w:t>
      </w:r>
    </w:p>
    <w:p w:rsidR="00000000" w:rsidDel="00000000" w:rsidP="00000000" w:rsidRDefault="00000000" w:rsidRPr="00000000" w14:paraId="000000D5">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6">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7">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vt0faay3fre8" w:id="14"/>
      <w:bookmarkEnd w:id="14"/>
      <w:r w:rsidDel="00000000" w:rsidR="00000000" w:rsidRPr="00000000">
        <w:rPr>
          <w:b w:val="0"/>
          <w:bCs w:val="0"/>
          <w:sz w:val="28"/>
          <w:szCs w:val="28"/>
          <w:rtl w:val="0"/>
        </w:rPr>
        <w:t xml:space="preserve">Base légale et justification de l’intérêt public</w:t>
      </w:r>
    </w:p>
    <w:p w:rsidR="00000000" w:rsidDel="00000000" w:rsidP="00000000" w:rsidRDefault="00000000" w:rsidRPr="00000000" w14:paraId="000000D8">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9">
      <w:pPr>
        <w:pStyle w:val="Heading3"/>
        <w:numPr>
          <w:ilvl w:val="2"/>
          <w:numId w:val="7"/>
        </w:numPr>
        <w:spacing w:after="80" w:before="320" w:lineRule="auto"/>
        <w:ind w:right="-40.8661417322827"/>
        <w:rPr>
          <w:rFonts w:ascii="Tahoma" w:cs="Tahoma" w:eastAsia="Tahoma" w:hAnsi="Tahoma"/>
          <w:color w:val="434343"/>
          <w:sz w:val="28"/>
          <w:szCs w:val="28"/>
        </w:rPr>
      </w:pPr>
      <w:bookmarkStart w:colFirst="0" w:colLast="0" w:name="_jcdtvegx7j1i" w:id="15"/>
      <w:bookmarkEnd w:id="15"/>
      <w:r w:rsidDel="00000000" w:rsidR="00000000" w:rsidRPr="00000000">
        <w:rPr>
          <w:color w:val="434343"/>
          <w:sz w:val="28"/>
          <w:szCs w:val="28"/>
          <w:u w:val="single"/>
          <w:rtl w:val="0"/>
        </w:rPr>
        <w:t xml:space="preserve">Base légale du traitement de mise en oeuvre de l’EDS (article 6 du RGPD) et exception à l’interdiction de traiter des données de santé (article 9 du RGPD)</w:t>
      </w:r>
    </w:p>
    <w:p w:rsidR="00000000" w:rsidDel="00000000" w:rsidP="00000000" w:rsidRDefault="00000000" w:rsidRPr="00000000" w14:paraId="000000DA">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mise en œuvre de &lt; nom de l'entrepôt &gt; s’inscrit dans le cadre de l’exécution d’une mission d’intérêt public dans le domaine de la santé dont est investi le responsable de traitement (</w:t>
      </w:r>
      <w:hyperlink r:id="rId12">
        <w:r w:rsidDel="00000000" w:rsidR="00000000" w:rsidRPr="00000000">
          <w:rPr>
            <w:rFonts w:ascii="Tahoma" w:cs="Tahoma" w:eastAsia="Tahoma" w:hAnsi="Tahoma"/>
            <w:color w:val="1155cc"/>
            <w:u w:val="single"/>
            <w:rtl w:val="0"/>
          </w:rPr>
          <w:t xml:space="preserve">articles 6.1.e. du RGPD</w:t>
        </w:r>
      </w:hyperlink>
      <w:r w:rsidDel="00000000" w:rsidR="00000000" w:rsidRPr="00000000">
        <w:rPr>
          <w:rFonts w:ascii="Tahoma" w:cs="Tahoma" w:eastAsia="Tahoma" w:hAnsi="Tahoma"/>
          <w:rtl w:val="0"/>
        </w:rPr>
        <w:t xml:space="preserve">). L’utilisation des données de santé est nécessaire pour des motifs d’intérêt public dans le domaine de la santé publique (</w:t>
      </w:r>
      <w:hyperlink r:id="rId13">
        <w:r w:rsidDel="00000000" w:rsidR="00000000" w:rsidRPr="00000000">
          <w:rPr>
            <w:rFonts w:ascii="Tahoma" w:cs="Tahoma" w:eastAsia="Tahoma" w:hAnsi="Tahoma"/>
            <w:color w:val="1155cc"/>
            <w:u w:val="single"/>
            <w:rtl w:val="0"/>
          </w:rPr>
          <w:t xml:space="preserve">article 9.2.i du RGPD</w:t>
        </w:r>
      </w:hyperlink>
      <w:r w:rsidDel="00000000" w:rsidR="00000000" w:rsidRPr="00000000">
        <w:rPr>
          <w:rFonts w:ascii="Tahoma" w:cs="Tahoma" w:eastAsia="Tahoma" w:hAnsi="Tahoma"/>
          <w:rtl w:val="0"/>
        </w:rPr>
        <w:t xml:space="preserve">)</w:t>
      </w:r>
      <w:r w:rsidDel="00000000" w:rsidR="00000000" w:rsidRPr="00000000">
        <w:rPr>
          <w:rFonts w:ascii="Tahoma" w:cs="Tahoma" w:eastAsia="Tahoma" w:hAnsi="Tahoma"/>
          <w:highlight w:val="white"/>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tl w:val="0"/>
        </w:rPr>
      </w:r>
    </w:p>
    <w:p w:rsidR="00000000" w:rsidDel="00000000" w:rsidP="00000000" w:rsidRDefault="00000000" w:rsidRPr="00000000" w14:paraId="000000DC">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D">
      <w:pPr>
        <w:pStyle w:val="Heading3"/>
        <w:numPr>
          <w:ilvl w:val="0"/>
          <w:numId w:val="30"/>
        </w:numPr>
        <w:spacing w:after="80" w:before="320" w:line="240" w:lineRule="auto"/>
        <w:ind w:right="-40.8661417322827"/>
        <w:rPr>
          <w:rFonts w:ascii="Tahoma" w:cs="Tahoma" w:eastAsia="Tahoma" w:hAnsi="Tahoma"/>
          <w:color w:val="434343"/>
          <w:sz w:val="28"/>
          <w:szCs w:val="28"/>
        </w:rPr>
      </w:pPr>
      <w:bookmarkStart w:colFirst="0" w:colLast="0" w:name="_ixt3db17wdn9" w:id="16"/>
      <w:bookmarkEnd w:id="16"/>
      <w:r w:rsidDel="00000000" w:rsidR="00000000" w:rsidRPr="00000000">
        <w:rPr>
          <w:color w:val="434343"/>
          <w:sz w:val="28"/>
          <w:szCs w:val="28"/>
          <w:u w:val="single"/>
          <w:rtl w:val="0"/>
        </w:rPr>
        <w:t xml:space="preserve">Justification de l’intérêt public</w:t>
      </w:r>
    </w:p>
    <w:p w:rsidR="00000000" w:rsidDel="00000000" w:rsidP="00000000" w:rsidRDefault="00000000" w:rsidRPr="00000000" w14:paraId="000000DE">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0DF">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mise en œuvre de &lt; nom de l'entrepôt &gt; présente un caractère d’intérêt public pour plusieurs raisons.</w:t>
      </w:r>
    </w:p>
    <w:p w:rsidR="00000000" w:rsidDel="00000000" w:rsidP="00000000" w:rsidRDefault="00000000" w:rsidRPr="00000000" w14:paraId="000000E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rassemblant des données cliniques chaînées avec celles de la base principale du SNDS, le &lt; nom de l'entrepôt &gt; réunit des données de santé d’une grande richesse permettant d’appréhender les variétés des parcours de soin en disposant de données cliniques complétées par des données issues des feuilles de soins. Cette complémentarité des sources de données est propice au développement de recherches au bénéfice des patients, de la communauté scientifique et plus largement de la société en permettant l’amélioration de la qualité des prises en charge et des soins sur le territoire. Le regroupement de ces données favorise en effet la mise en oeuvre d’études permettant par exemple de mieux appréhender les parcours de soins, d’identifier des actions de prévention à mettre en place, de caractériser les effets indésirables des médicaments au sein de sous-groupes de patients, de favoriser le développement et la validation d’algorithmes afin d’améliorer l’établissement de diagnostics et la caractérisation d’une population d’intérêt La mise au format OMOP des données présentes dans l’entrepôt facilitera en outre la conduite d’études à l’échelle européenne voire internationale et de la réutilisation d’algorithmes développés sur d’autres sources de données au sein de l’entrepôt.</w:t>
      </w:r>
    </w:p>
    <w:p w:rsidR="00000000" w:rsidDel="00000000" w:rsidP="00000000" w:rsidRDefault="00000000" w:rsidRPr="00000000" w14:paraId="000000E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3">
      <w:pPr>
        <w:numPr>
          <w:ilvl w:val="0"/>
          <w:numId w:val="48"/>
        </w:numPr>
        <w:spacing w:line="240" w:lineRule="auto"/>
        <w:ind w:left="720" w:right="-40.8661417322827" w:hanging="360"/>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Le &lt; nom de l'entrepôt &gt; apporte un bénéfice important pour la société et la communauté scientifique</w:t>
      </w:r>
    </w:p>
    <w:p w:rsidR="00000000" w:rsidDel="00000000" w:rsidP="00000000" w:rsidRDefault="00000000" w:rsidRPr="00000000" w14:paraId="000000E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autorités administratives (françaises ou européennes) régulant l’accès au marché et le remboursement des produits de santé, appuyées par des équipes de recherche spécialisées en pharmaco-épidémiologie ou pharmaco-vigilance, ont pour mission d’assurer le suivi de l’utilisation, la veille sur les effets indésirables, la mesure de l’efficacité pour les patients et pour le système de santé des produits de santé. La réalisation de ces études doit mobiliser des “données de vie réelle” afin de compléter les informations fournies par les industriels en phase de pré-commercialisation et issues des essais cliniques. Le &lt; nom de l'entrepôt &gt; permettra notamment de documenter ces sujets pour un panel important de médicaments et de DM commercialisés en France et utilisés auprès de différentes populations de patients (grossesse et périnatalité, pédiatrie, patients adultes tous âges et toutes pathologies, avec une forte représentation de l’onco-hématologie). </w:t>
      </w:r>
    </w:p>
    <w:p w:rsidR="00000000" w:rsidDel="00000000" w:rsidP="00000000" w:rsidRDefault="00000000" w:rsidRPr="00000000" w14:paraId="000000E6">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7">
      <w:pPr>
        <w:numPr>
          <w:ilvl w:val="0"/>
          <w:numId w:val="50"/>
        </w:numPr>
        <w:spacing w:line="240" w:lineRule="auto"/>
        <w:ind w:left="720" w:right="-40.8661417322827" w:hanging="360"/>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Les données contenues dans le &lt; nom de l'entrepôt &gt; ne seront pas exploitées à des fins interdites</w:t>
      </w:r>
    </w:p>
    <w:p w:rsidR="00000000" w:rsidDel="00000000" w:rsidP="00000000" w:rsidRDefault="00000000" w:rsidRPr="00000000" w14:paraId="000000E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de &lt; nom de l'entrepôt &gt; ne seront exploitées ni à des fins de promotion des produits mentionnés au II de l'</w:t>
      </w:r>
      <w:hyperlink r:id="rId14">
        <w:r w:rsidDel="00000000" w:rsidR="00000000" w:rsidRPr="00000000">
          <w:rPr>
            <w:rFonts w:ascii="Tahoma" w:cs="Tahoma" w:eastAsia="Tahoma" w:hAnsi="Tahoma"/>
            <w:color w:val="1155cc"/>
            <w:u w:val="single"/>
            <w:rtl w:val="0"/>
          </w:rPr>
          <w:t xml:space="preserve">article L. 5311-1 du code de la santé publique</w:t>
        </w:r>
      </w:hyperlink>
      <w:r w:rsidDel="00000000" w:rsidR="00000000" w:rsidRPr="00000000">
        <w:rPr>
          <w:rFonts w:ascii="Tahoma" w:cs="Tahoma" w:eastAsia="Tahoma" w:hAnsi="Tahoma"/>
          <w:rtl w:val="0"/>
        </w:rPr>
        <w:t xml:space="preserve"> en direction de professionnels de santé ou d’établissements de santé, ni à des fins d'exclusion de garanties des contrats d'assurance, ni de modification de cotisations ou de primes d'assurance d'un individu ou d'un groupe d'individus présentant un même risque.</w:t>
      </w:r>
    </w:p>
    <w:p w:rsidR="00000000" w:rsidDel="00000000" w:rsidP="00000000" w:rsidRDefault="00000000" w:rsidRPr="00000000" w14:paraId="000000E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B">
      <w:pPr>
        <w:spacing w:line="240" w:lineRule="auto"/>
        <w:ind w:right="-40.8661417322827"/>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0E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effet, dans le cadre de la réutilisation des données à des fins de recherche par des responsables de traitements tiers, le comité scientifique de l’entrepôt prendra acte de l’engagement de ces derniers, inscrit dans le dossier de recherche, à ne pas poursuivre ces finalités interdites, conformément au point 5.1 de l’</w:t>
      </w:r>
      <w:hyperlink r:id="rId15">
        <w:r w:rsidDel="00000000" w:rsidR="00000000" w:rsidRPr="00000000">
          <w:rPr>
            <w:rFonts w:ascii="Tahoma" w:cs="Tahoma" w:eastAsia="Tahoma" w:hAnsi="Tahoma"/>
            <w:color w:val="1155cc"/>
            <w:u w:val="single"/>
            <w:rtl w:val="0"/>
          </w:rPr>
          <w:t xml:space="preserve">arrêté du 22 mars 2017 relatif au référentiel de sécurité applicable au Système national des données de santé</w:t>
        </w:r>
      </w:hyperlink>
      <w:r w:rsidDel="00000000" w:rsidR="00000000" w:rsidRPr="00000000">
        <w:rPr>
          <w:rFonts w:ascii="Tahoma" w:cs="Tahoma" w:eastAsia="Tahoma" w:hAnsi="Tahoma"/>
          <w:rtl w:val="0"/>
        </w:rPr>
        <w:t xml:space="preserve">. Le principe de limitation des finalités avec une mise en garde contre le détournement des finalités sera abordé lors des sessions de sensibilisation des utilisateurs conformément au point 3.5 Sensibilisation de l'arrêté précité.</w:t>
      </w:r>
    </w:p>
    <w:p w:rsidR="00000000" w:rsidDel="00000000" w:rsidP="00000000" w:rsidRDefault="00000000" w:rsidRPr="00000000" w14:paraId="000000E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EF">
      <w:pPr>
        <w:numPr>
          <w:ilvl w:val="0"/>
          <w:numId w:val="17"/>
        </w:numPr>
        <w:spacing w:line="240" w:lineRule="auto"/>
        <w:ind w:left="720" w:right="-40.8661417322827" w:hanging="360"/>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Des dispositions sont prises afin de garantir l’intégrité scientifique et la qualité des études et de prévenir le risque de produire des résultats biaisés</w:t>
      </w:r>
    </w:p>
    <w:p w:rsidR="00000000" w:rsidDel="00000000" w:rsidP="00000000" w:rsidRDefault="00000000" w:rsidRPr="00000000" w14:paraId="000000F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F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Afin de garantir la qualité des études menées à partir des données de l’entrepôt, chacune d’entre elles fait l’objet d’un avis du comité scientifique et éthique de l’EDS. Ce dernier est chargé de se prononcer sur la pertinence et la qualité scientifique de chacun des projets qui lui sera soumis. Pour cela il dispose d’expertises croisées à travers la représentation des fournisseurs de données, d’experts scientifiques et de représentants d’association de malades. Par ailleurs, les données collectées dans l’EDS passent par un processus de standardisation et de mise en qualité permettant aux utilisateurs finaux de l’EDS de mener leurs études sur des bases de données fiables et standardisées, ce qui réduit le délai de préparation des données pour les utilisateurs finaux, et réduit d’autant le délai d’obtention des résultats tout en améliorant leur précision.</w:t>
      </w:r>
    </w:p>
    <w:p w:rsidR="00000000" w:rsidDel="00000000" w:rsidP="00000000" w:rsidRDefault="00000000" w:rsidRPr="00000000" w14:paraId="000000F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F3">
      <w:pPr>
        <w:numPr>
          <w:ilvl w:val="0"/>
          <w:numId w:val="46"/>
        </w:numPr>
        <w:spacing w:line="240" w:lineRule="auto"/>
        <w:ind w:left="720" w:right="-40.8661417322827" w:hanging="360"/>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Des mesures sont prises afin d’assurer la transparence des études menées sur les données de &lt; nom de l'entrepôt &gt;</w:t>
      </w:r>
    </w:p>
    <w:p w:rsidR="00000000" w:rsidDel="00000000" w:rsidP="00000000" w:rsidRDefault="00000000" w:rsidRPr="00000000" w14:paraId="000000F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F5">
      <w:pPr>
        <w:spacing w:line="240" w:lineRule="auto"/>
        <w:ind w:right="-40.8661417322827"/>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Afin que les citoyens puissent prendre connaissance des études réalisées sur les données de l’entrepôt, le &lt; nom du responsable de traitement &gt; va déployer sur son site internet un portail de transparence relatif aux EDS. Le &lt; nom de l'entrepôt &gt; y sera référencé et renverra vers les informations de l’article 14 du RGPD propres à chaque projet de recherche portant sur les données qu’il contient. </w:t>
        <w:br w:type="textWrapping"/>
        <w:t xml:space="preserve">Par ailleurs, l’ensemble des études réalisées sur les données de &lt; nom de l'entrepôt &gt; seront inscrites dans le répertoire public des projets du HDH. </w:t>
      </w:r>
    </w:p>
    <w:p w:rsidR="00000000" w:rsidDel="00000000" w:rsidP="00000000" w:rsidRDefault="00000000" w:rsidRPr="00000000" w14:paraId="000000F6">
      <w:pPr>
        <w:spacing w:line="240" w:lineRule="auto"/>
        <w:ind w:right="-40.8661417322827"/>
        <w:jc w:val="both"/>
        <w:rPr>
          <w:rFonts w:ascii="Tahoma" w:cs="Tahoma" w:eastAsia="Tahoma" w:hAnsi="Tahoma"/>
          <w:highlight w:val="white"/>
        </w:rPr>
      </w:pPr>
      <w:r w:rsidDel="00000000" w:rsidR="00000000" w:rsidRPr="00000000">
        <w:rPr>
          <w:rtl w:val="0"/>
        </w:rPr>
      </w:r>
    </w:p>
    <w:p w:rsidR="00000000" w:rsidDel="00000000" w:rsidP="00000000" w:rsidRDefault="00000000" w:rsidRPr="00000000" w14:paraId="000000F7">
      <w:pPr>
        <w:spacing w:line="240" w:lineRule="auto"/>
        <w:ind w:right="-40.8661417322827"/>
        <w:jc w:val="both"/>
        <w:rPr>
          <w:rFonts w:ascii="Tahoma" w:cs="Tahoma" w:eastAsia="Tahoma" w:hAnsi="Tahoma"/>
          <w:highlight w:val="white"/>
        </w:rPr>
      </w:pPr>
      <w:r w:rsidDel="00000000" w:rsidR="00000000" w:rsidRPr="00000000">
        <w:rPr>
          <w:rtl w:val="0"/>
        </w:rPr>
      </w:r>
    </w:p>
    <w:p w:rsidR="00000000" w:rsidDel="00000000" w:rsidP="00000000" w:rsidRDefault="00000000" w:rsidRPr="00000000" w14:paraId="000000F8">
      <w:pPr>
        <w:spacing w:line="240" w:lineRule="auto"/>
        <w:ind w:right="-40.8661417322827"/>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En tout état de cause, le &lt; nom du responsable de traitement &gt; propose de communiquer tous les trois ans à la CNIL un rapport sur le fonctionnement de l’entrepôt et sur les recherches réalisées à partir des données qu’il contient.</w:t>
      </w:r>
    </w:p>
    <w:p w:rsidR="00000000" w:rsidDel="00000000" w:rsidP="00000000" w:rsidRDefault="00000000" w:rsidRPr="00000000" w14:paraId="000000F9">
      <w:pPr>
        <w:ind w:right="-40.8661417322827"/>
        <w:rPr>
          <w:rFonts w:ascii="Tahoma" w:cs="Tahoma" w:eastAsia="Tahoma" w:hAnsi="Tahoma"/>
          <w:highlight w:val="white"/>
        </w:rPr>
      </w:pPr>
      <w:r w:rsidDel="00000000" w:rsidR="00000000" w:rsidRPr="00000000">
        <w:rPr>
          <w:rtl w:val="0"/>
        </w:rPr>
      </w:r>
    </w:p>
    <w:p w:rsidR="00000000" w:rsidDel="00000000" w:rsidP="00000000" w:rsidRDefault="00000000" w:rsidRPr="00000000" w14:paraId="000000FA">
      <w:pPr>
        <w:numPr>
          <w:ilvl w:val="0"/>
          <w:numId w:val="11"/>
        </w:numPr>
        <w:ind w:left="720" w:right="-40.8661417322827" w:hanging="360"/>
        <w:jc w:val="both"/>
        <w:rPr>
          <w:rFonts w:ascii="Tahoma" w:cs="Tahoma" w:eastAsia="Tahoma" w:hAnsi="Tahoma"/>
          <w:b w:val="1"/>
          <w:bCs w:val="1"/>
        </w:rPr>
      </w:pPr>
      <w:r w:rsidDel="00000000" w:rsidR="00000000" w:rsidRPr="00000000">
        <w:rPr>
          <w:rFonts w:ascii="Tahoma" w:cs="Tahoma" w:eastAsia="Tahoma" w:hAnsi="Tahoma"/>
          <w:rtl w:val="0"/>
        </w:rPr>
        <w:t xml:space="preserve">L</w:t>
      </w:r>
      <w:r w:rsidDel="00000000" w:rsidR="00000000" w:rsidRPr="00000000">
        <w:rPr>
          <w:rFonts w:ascii="Tahoma" w:cs="Tahoma" w:eastAsia="Tahoma" w:hAnsi="Tahoma"/>
          <w:rtl w:val="0"/>
        </w:rPr>
        <w:t xml:space="preserve">e &lt; nom de l'entrepôt &gt;</w:t>
      </w:r>
      <w:r w:rsidDel="00000000" w:rsidR="00000000" w:rsidRPr="00000000">
        <w:rPr>
          <w:rFonts w:ascii="Tahoma" w:cs="Tahoma" w:eastAsia="Tahoma" w:hAnsi="Tahoma"/>
          <w:highlight w:val="white"/>
          <w:rtl w:val="0"/>
        </w:rPr>
        <w:t xml:space="preserve"> s’inscrit dans une démarche de science ouverte sur l’interopérabilité d’EDS</w:t>
      </w:r>
      <w:r w:rsidDel="00000000" w:rsidR="00000000" w:rsidRPr="00000000">
        <w:rPr>
          <w:rtl w:val="0"/>
        </w:rPr>
      </w:r>
    </w:p>
    <w:p w:rsidR="00000000" w:rsidDel="00000000" w:rsidP="00000000" w:rsidRDefault="00000000" w:rsidRPr="00000000" w14:paraId="000000FB">
      <w:pPr>
        <w:ind w:right="-40.8661417322827"/>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 </w:t>
      </w:r>
    </w:p>
    <w:p w:rsidR="00000000" w:rsidDel="00000000" w:rsidP="00000000" w:rsidRDefault="00000000" w:rsidRPr="00000000" w14:paraId="000000FC">
      <w:pPr>
        <w:spacing w:line="240" w:lineRule="auto"/>
        <w:ind w:right="-40.8661417322827"/>
        <w:jc w:val="both"/>
        <w:rPr/>
      </w:pPr>
      <w:r w:rsidDel="00000000" w:rsidR="00000000" w:rsidRPr="00000000">
        <w:rPr>
          <w:rFonts w:ascii="Tahoma" w:cs="Tahoma" w:eastAsia="Tahoma" w:hAnsi="Tahoma"/>
          <w:highlight w:val="white"/>
          <w:rtl w:val="0"/>
        </w:rPr>
        <w:t xml:space="preserve">Les scripts du SNDS au format OMOP-CDM sont ouverts à tous, et la constitution de l’entrepôt permettra d’améliorer la première version mise à disposition par le &lt; nom du responsable de traitement &gt;, en prenant en compte les spécificités de chaînage entre les données hospitalières et la base principale du SNDS. D’autres projets pourront donc s’appuyer librement sur ces premiers travaux. La constitution d’un entrepôt de données standardisées permettra également le partage de requête ce qui permettra d’obtenir des résultats de recherche plus fiables. </w:t>
      </w:r>
      <w:r w:rsidDel="00000000" w:rsidR="00000000" w:rsidRPr="00000000">
        <w:rPr>
          <w:rtl w:val="0"/>
        </w:rPr>
      </w:r>
    </w:p>
    <w:p w:rsidR="00000000" w:rsidDel="00000000" w:rsidP="00000000" w:rsidRDefault="00000000" w:rsidRPr="00000000" w14:paraId="000000F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F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0FF">
      <w:pPr>
        <w:pStyle w:val="Heading1"/>
        <w:numPr>
          <w:ilvl w:val="0"/>
          <w:numId w:val="7"/>
        </w:numPr>
        <w:spacing w:after="120" w:lineRule="auto"/>
        <w:ind w:right="-40.8661417322827"/>
        <w:jc w:val="left"/>
        <w:rPr>
          <w:rFonts w:ascii="Tahoma" w:cs="Tahoma" w:eastAsia="Tahoma" w:hAnsi="Tahoma"/>
          <w:b w:val="1"/>
          <w:bCs w:val="1"/>
          <w:color w:val="036287"/>
          <w:sz w:val="36"/>
          <w:szCs w:val="36"/>
        </w:rPr>
      </w:pPr>
      <w:bookmarkStart w:colFirst="0" w:colLast="0" w:name="_w6ym2aqled1a" w:id="17"/>
      <w:bookmarkEnd w:id="17"/>
      <w:r w:rsidDel="00000000" w:rsidR="00000000" w:rsidRPr="00000000">
        <w:rPr>
          <w:sz w:val="36"/>
          <w:szCs w:val="36"/>
          <w:rtl w:val="0"/>
        </w:rPr>
        <w:t xml:space="preserve">Données traitées</w:t>
      </w:r>
    </w:p>
    <w:p w:rsidR="00000000" w:rsidDel="00000000" w:rsidP="00000000" w:rsidRDefault="00000000" w:rsidRPr="00000000" w14:paraId="00000100">
      <w:pPr>
        <w:pStyle w:val="Heading1"/>
        <w:spacing w:after="0" w:before="0" w:lineRule="auto"/>
        <w:ind w:left="0" w:right="-40.8661417322827" w:firstLine="0"/>
        <w:rPr>
          <w:sz w:val="36"/>
          <w:szCs w:val="36"/>
        </w:rPr>
      </w:pPr>
      <w:bookmarkStart w:colFirst="0" w:colLast="0" w:name="_17dp8vu" w:id="18"/>
      <w:bookmarkEnd w:id="18"/>
      <w:r w:rsidDel="00000000" w:rsidR="00000000" w:rsidRPr="00000000">
        <w:rPr>
          <w:rtl w:val="0"/>
        </w:rPr>
      </w:r>
    </w:p>
    <w:p w:rsidR="00000000" w:rsidDel="00000000" w:rsidP="00000000" w:rsidRDefault="00000000" w:rsidRPr="00000000" w14:paraId="0000010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Dans cette section et la section suivante (parties 3 et 4), “</w:t>
      </w:r>
      <w:r w:rsidDel="00000000" w:rsidR="00000000" w:rsidRPr="00000000">
        <w:rPr>
          <w:rFonts w:ascii="Tahoma" w:cs="Tahoma" w:eastAsia="Tahoma" w:hAnsi="Tahoma"/>
          <w:b w:val="1"/>
          <w:bCs w:val="1"/>
          <w:rtl w:val="0"/>
        </w:rPr>
        <w:t xml:space="preserve">données des centres</w:t>
      </w:r>
      <w:r w:rsidDel="00000000" w:rsidR="00000000" w:rsidRPr="00000000">
        <w:rPr>
          <w:rFonts w:ascii="Tahoma" w:cs="Tahoma" w:eastAsia="Tahoma" w:hAnsi="Tahoma"/>
          <w:rtl w:val="0"/>
        </w:rPr>
        <w:t xml:space="preserve">” représente soit les données issues des EDS hospitaliers pour les centres ayant un EDS en production, soit les données issues des dossiers patients pour les centres n’ayant pas d’EDS en production au moment de l’intégration des données dans le &lt; nom de l'entrepôt &gt;.</w:t>
      </w:r>
    </w:p>
    <w:p w:rsidR="00000000" w:rsidDel="00000000" w:rsidP="00000000" w:rsidRDefault="00000000" w:rsidRPr="00000000" w14:paraId="0000010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03">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ow0p1wuouj68" w:id="19"/>
      <w:bookmarkEnd w:id="19"/>
      <w:r w:rsidDel="00000000" w:rsidR="00000000" w:rsidRPr="00000000">
        <w:rPr>
          <w:b w:val="0"/>
          <w:bCs w:val="0"/>
          <w:sz w:val="28"/>
          <w:szCs w:val="28"/>
          <w:rtl w:val="0"/>
        </w:rPr>
        <w:t xml:space="preserve">Sources de données</w:t>
      </w:r>
    </w:p>
    <w:p w:rsidR="00000000" w:rsidDel="00000000" w:rsidP="00000000" w:rsidRDefault="00000000" w:rsidRPr="00000000" w14:paraId="0000010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0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composant le &lt; nom de l'entrepôt &gt; sont des données au format OMOP (ou éventuellement structurées) issues d’extractions : </w:t>
      </w:r>
    </w:p>
    <w:p w:rsidR="00000000" w:rsidDel="00000000" w:rsidP="00000000" w:rsidRDefault="00000000" w:rsidRPr="00000000" w14:paraId="00000106">
      <w:pPr>
        <w:numPr>
          <w:ilvl w:val="0"/>
          <w:numId w:val="4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des données des quatre centres participants </w:t>
      </w:r>
    </w:p>
    <w:p w:rsidR="00000000" w:rsidDel="00000000" w:rsidP="00000000" w:rsidRDefault="00000000" w:rsidRPr="00000000" w14:paraId="00000107">
      <w:pPr>
        <w:numPr>
          <w:ilvl w:val="0"/>
          <w:numId w:val="4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de la base principale du SNDS. </w:t>
      </w:r>
    </w:p>
    <w:p w:rsidR="00000000" w:rsidDel="00000000" w:rsidP="00000000" w:rsidRDefault="00000000" w:rsidRPr="00000000" w14:paraId="00000108">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10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Chaque centre hospitalier contribue au &lt; nom de l'entrepôt &gt; en fournissant des données structurées pour des patients ayant été hospitalisés dans le centre participant à partir de 20XX. Les données hospitalières intégrées dans l’EDS ont été collectées depuis 20XX, elles seront conservées dans l’EDS pour une période glissante de 20 ans (à partir de la date de collecte) pour chaque patient inclus, en fonction de la disponibilité des données. La temporalité des données et la période d’inclusion des patients est variable en fonction des fournisseurs de données. </w:t>
      </w:r>
    </w:p>
    <w:p w:rsidR="00000000" w:rsidDel="00000000" w:rsidP="00000000" w:rsidRDefault="00000000" w:rsidRPr="00000000" w14:paraId="0000010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0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Des données de la base principale du SNDS à partir de 20XX  sont également extraites pour complémenter le &lt; nom de l'entrepôt &gt;, elles seront conservées pour une période glissante de 20 ans (à partir de la date de mise à disposition). Les données de la base principale du SNDS permettront notamment de disposer de données sur les consommations en soins de ville, le parcours de soins dans d’autres établissements de santé et les causes médicales de décès (le cas échéant) pour les patients inclus dans le &lt; nom de l'entrepôt &gt;. Les patients seront identifiés dans les données de la base principale SNDS grâce à un appariement direct via le NIR. </w:t>
      </w:r>
    </w:p>
    <w:p w:rsidR="00000000" w:rsidDel="00000000" w:rsidP="00000000" w:rsidRDefault="00000000" w:rsidRPr="00000000" w14:paraId="0000010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0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base principale du SNDS permet également de constituer une population témoin (et de disposer des données associées) ainsi que d’identifier et de récupérer des données relatives aux enfants des femmes sélectionnés dans les centres ayant accouché depuis 20XX. Les données de la base principale SNDS seront également récupérées pour ces deux populations à partir de 20XX, et conservées sur une période glissante de 20 ans (à partir de la date de mise à disposition).</w:t>
      </w:r>
    </w:p>
    <w:p w:rsidR="00000000" w:rsidDel="00000000" w:rsidP="00000000" w:rsidRDefault="00000000" w:rsidRPr="00000000" w14:paraId="0000010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0F">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Une mise-à-jour annuelle des données des établissements de santé et de la base principale du SNDS est réalisée au sein de &lt; nom de l'entrepôt &gt;. Les données sont conservées sur 20 ans glissants à partir de la date de collecte pour les données des centres et à partir de la date de mise à disposition pour les données de la base principale du SNDS. </w:t>
      </w:r>
    </w:p>
    <w:p w:rsidR="00000000" w:rsidDel="00000000" w:rsidP="00000000" w:rsidRDefault="00000000" w:rsidRPr="00000000" w14:paraId="0000011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des établissements de santé et de la base principale du SNDS sont mises au format OMOP par le &lt; nom du responsable de traitement &gt; sur sa plateforme technologique.</w:t>
      </w:r>
    </w:p>
    <w:p w:rsidR="00000000" w:rsidDel="00000000" w:rsidP="00000000" w:rsidRDefault="00000000" w:rsidRPr="00000000" w14:paraId="0000011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1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tableaux suivants détaillent chacune des sources et la typologie des données qui sont utilisées dans le cadre du projet.</w:t>
      </w:r>
    </w:p>
    <w:p w:rsidR="00000000" w:rsidDel="00000000" w:rsidP="00000000" w:rsidRDefault="00000000" w:rsidRPr="00000000" w14:paraId="0000011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1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15">
      <w:pPr>
        <w:spacing w:line="240" w:lineRule="auto"/>
        <w:ind w:right="-40.8661417322827"/>
        <w:jc w:val="both"/>
        <w:rPr>
          <w:rFonts w:ascii="Tahoma" w:cs="Tahoma" w:eastAsia="Tahoma" w:hAnsi="Tahoma"/>
          <w:b w:val="1"/>
          <w:bCs w:val="1"/>
          <w:color w:val="007fa1"/>
          <w:sz w:val="20"/>
          <w:szCs w:val="20"/>
        </w:rPr>
      </w:pPr>
      <w:r w:rsidDel="00000000" w:rsidR="00000000" w:rsidRPr="00000000">
        <w:rPr>
          <w:rFonts w:ascii="Tahoma" w:cs="Tahoma" w:eastAsia="Tahoma" w:hAnsi="Tahoma"/>
          <w:b w:val="1"/>
          <w:bCs w:val="1"/>
          <w:color w:val="007fa1"/>
          <w:sz w:val="20"/>
          <w:szCs w:val="20"/>
          <w:rtl w:val="0"/>
        </w:rPr>
        <w:t xml:space="preserve">Source de donnée #1</w:t>
      </w:r>
    </w:p>
    <w:tbl>
      <w:tblPr>
        <w:tblStyle w:val="Table3"/>
        <w:tblW w:w="8640.0" w:type="dxa"/>
        <w:jc w:val="left"/>
        <w:tblInd w:w="-108.0" w:type="dxa"/>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400"/>
      </w:tblPr>
      <w:tblGrid>
        <w:gridCol w:w="1440"/>
        <w:gridCol w:w="7200"/>
        <w:tblGridChange w:id="0">
          <w:tblGrid>
            <w:gridCol w:w="1440"/>
            <w:gridCol w:w="7200"/>
          </w:tblGrid>
        </w:tblGridChange>
      </w:tblGrid>
      <w:tr>
        <w:trPr>
          <w:cantSplit w:val="0"/>
          <w:trHeight w:val="560" w:hRule="atLeast"/>
          <w:tblHeader w:val="0"/>
        </w:trPr>
        <w:tc>
          <w:tcPr>
            <w:shd w:fill="31849b" w:val="clear"/>
            <w:vAlign w:val="center"/>
          </w:tcPr>
          <w:p w:rsidR="00000000" w:rsidDel="00000000" w:rsidP="00000000" w:rsidRDefault="00000000" w:rsidRPr="00000000" w14:paraId="00000116">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Base de données </w:t>
            </w:r>
          </w:p>
        </w:tc>
        <w:tc>
          <w:tcPr>
            <w:shd w:fill="ffffff" w:val="clear"/>
            <w:vAlign w:val="center"/>
          </w:tcPr>
          <w:p w:rsidR="00000000" w:rsidDel="00000000" w:rsidP="00000000" w:rsidRDefault="00000000" w:rsidRPr="00000000" w14:paraId="00000117">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la base de données &gt;</w:t>
            </w:r>
          </w:p>
          <w:p w:rsidR="00000000" w:rsidDel="00000000" w:rsidP="00000000" w:rsidRDefault="00000000" w:rsidRPr="00000000" w14:paraId="00000118">
            <w:pPr>
              <w:spacing w:line="240" w:lineRule="auto"/>
              <w:ind w:right="-40.8661417322827"/>
              <w:rPr>
                <w:rFonts w:ascii="Tahoma" w:cs="Tahoma" w:eastAsia="Tahoma" w:hAnsi="Tahoma"/>
                <w:sz w:val="20"/>
                <w:szCs w:val="20"/>
              </w:rPr>
            </w:pP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19">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Producteur</w:t>
            </w:r>
          </w:p>
        </w:tc>
        <w:tc>
          <w:tcPr>
            <w:shd w:fill="ffffff" w:val="clear"/>
            <w:vAlign w:val="center"/>
          </w:tcPr>
          <w:p w:rsidR="00000000" w:rsidDel="00000000" w:rsidP="00000000" w:rsidRDefault="00000000" w:rsidRPr="00000000" w14:paraId="0000011A">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l’établissement de santé &gt;</w:t>
            </w:r>
          </w:p>
        </w:tc>
      </w:tr>
      <w:tr>
        <w:trPr>
          <w:cantSplit w:val="0"/>
          <w:trHeight w:val="560" w:hRule="atLeast"/>
          <w:tblHeader w:val="0"/>
        </w:trPr>
        <w:tc>
          <w:tcPr>
            <w:shd w:fill="31849b" w:val="clear"/>
            <w:vAlign w:val="center"/>
          </w:tcPr>
          <w:p w:rsidR="00000000" w:rsidDel="00000000" w:rsidP="00000000" w:rsidRDefault="00000000" w:rsidRPr="00000000" w14:paraId="0000011B">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Encadrement réglementaire</w:t>
            </w:r>
          </w:p>
        </w:tc>
        <w:tc>
          <w:tcPr>
            <w:shd w:fill="ffffff" w:val="clear"/>
            <w:vAlign w:val="center"/>
          </w:tcPr>
          <w:p w:rsidR="00000000" w:rsidDel="00000000" w:rsidP="00000000" w:rsidRDefault="00000000" w:rsidRPr="00000000" w14:paraId="0000011C">
            <w:pPr>
              <w:spacing w:line="240" w:lineRule="auto"/>
              <w:ind w:right="-40.8661417322827"/>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Code de la santé publique, Sixième partie : Etablissements et services de santé (Articles L6111-1 à L6441-1) </w:t>
            </w: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1D">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Typologie de données disponibles</w:t>
            </w:r>
          </w:p>
        </w:tc>
        <w:tc>
          <w:tcPr>
            <w:shd w:fill="ffffff" w:val="clear"/>
            <w:vAlign w:val="center"/>
          </w:tcPr>
          <w:p w:rsidR="00000000" w:rsidDel="00000000" w:rsidP="00000000" w:rsidRDefault="00000000" w:rsidRPr="00000000" w14:paraId="0000011E">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hospitalières contiennent des informations relatives aux : </w:t>
            </w:r>
          </w:p>
          <w:p w:rsidR="00000000" w:rsidDel="00000000" w:rsidP="00000000" w:rsidRDefault="00000000" w:rsidRPr="00000000" w14:paraId="0000011F">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administratives du séjour (Finess, dates de séjour, modes d’entrée/sortie, unités médicales visitées, GHM et GHS, …)</w:t>
            </w:r>
          </w:p>
          <w:p w:rsidR="00000000" w:rsidDel="00000000" w:rsidP="00000000" w:rsidRDefault="00000000" w:rsidRPr="00000000" w14:paraId="00000120">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Diagnostics de maladies</w:t>
            </w:r>
          </w:p>
          <w:p w:rsidR="00000000" w:rsidDel="00000000" w:rsidP="00000000" w:rsidRDefault="00000000" w:rsidRPr="00000000" w14:paraId="00000121">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Traitements médicamenteux (médicaments, dates de prescription et délivrance, quantités, indication, spécialité du médecin prescripteur, …)</w:t>
            </w:r>
          </w:p>
          <w:p w:rsidR="00000000" w:rsidDel="00000000" w:rsidP="00000000" w:rsidRDefault="00000000" w:rsidRPr="00000000" w14:paraId="00000122">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Examens médicaux (type d’examen, résultat, date, indication, …)</w:t>
            </w:r>
          </w:p>
          <w:p w:rsidR="00000000" w:rsidDel="00000000" w:rsidP="00000000" w:rsidRDefault="00000000" w:rsidRPr="00000000" w14:paraId="00000123">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Matériel médical (type de dispositif médical, date de pose, quantité, indication, …)</w:t>
            </w:r>
          </w:p>
          <w:p w:rsidR="00000000" w:rsidDel="00000000" w:rsidP="00000000" w:rsidRDefault="00000000" w:rsidRPr="00000000" w14:paraId="00000124">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Actes médicaux (type, date, indication, …)</w:t>
            </w:r>
          </w:p>
          <w:p w:rsidR="00000000" w:rsidDel="00000000" w:rsidP="00000000" w:rsidRDefault="00000000" w:rsidRPr="00000000" w14:paraId="00000125">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liées aux facteurs de risque (tabagisme, consommation d’alcool, IMC, …)</w:t>
            </w:r>
          </w:p>
          <w:p w:rsidR="00000000" w:rsidDel="00000000" w:rsidP="00000000" w:rsidRDefault="00000000" w:rsidRPr="00000000" w14:paraId="00000126">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issues d’évaluations médicales (scores de sévérité, score IGS2, échelle de douleur, score de Karnofsky, …)</w:t>
            </w:r>
          </w:p>
          <w:p w:rsidR="00000000" w:rsidDel="00000000" w:rsidP="00000000" w:rsidRDefault="00000000" w:rsidRPr="00000000" w14:paraId="00000127">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socio-démographiques (année et mois de naissance, sexe, date de décès, communde de résidence, régime d’assurance maladie, aides d’état, ALD, accident de travail, maladie professionnelle)</w:t>
            </w:r>
          </w:p>
        </w:tc>
      </w:tr>
      <w:tr>
        <w:trPr>
          <w:cantSplit w:val="0"/>
          <w:trHeight w:val="560" w:hRule="atLeast"/>
          <w:tblHeader w:val="0"/>
        </w:trPr>
        <w:tc>
          <w:tcPr>
            <w:shd w:fill="31849b" w:val="clear"/>
            <w:vAlign w:val="center"/>
          </w:tcPr>
          <w:p w:rsidR="00000000" w:rsidDel="00000000" w:rsidP="00000000" w:rsidRDefault="00000000" w:rsidRPr="00000000" w14:paraId="00000128">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Collecte des données</w:t>
            </w:r>
          </w:p>
        </w:tc>
        <w:tc>
          <w:tcPr>
            <w:shd w:fill="ffffff" w:val="clear"/>
            <w:vAlign w:val="center"/>
          </w:tcPr>
          <w:p w:rsidR="00000000" w:rsidDel="00000000" w:rsidP="00000000" w:rsidRDefault="00000000" w:rsidRPr="00000000" w14:paraId="00000129">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sont issues d’une collecte préalable dans le cadre du soin à l’hôpital. </w:t>
            </w:r>
          </w:p>
        </w:tc>
      </w:tr>
      <w:tr>
        <w:trPr>
          <w:cantSplit w:val="0"/>
          <w:trHeight w:val="560" w:hRule="atLeast"/>
          <w:tblHeader w:val="0"/>
        </w:trPr>
        <w:tc>
          <w:tcPr>
            <w:shd w:fill="31849b" w:val="clear"/>
            <w:vAlign w:val="center"/>
          </w:tcPr>
          <w:p w:rsidR="00000000" w:rsidDel="00000000" w:rsidP="00000000" w:rsidRDefault="00000000" w:rsidRPr="00000000" w14:paraId="0000012A">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Profondeur historique</w:t>
            </w:r>
          </w:p>
        </w:tc>
        <w:tc>
          <w:tcPr>
            <w:shd w:fill="ffffff" w:val="clear"/>
            <w:vAlign w:val="center"/>
          </w:tcPr>
          <w:p w:rsidR="00000000" w:rsidDel="00000000" w:rsidP="00000000" w:rsidRDefault="00000000" w:rsidRPr="00000000" w14:paraId="0000012B">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20XX pour une durée maximum de 20 ans.</w:t>
            </w:r>
          </w:p>
        </w:tc>
      </w:tr>
    </w:tbl>
    <w:p w:rsidR="00000000" w:rsidDel="00000000" w:rsidP="00000000" w:rsidRDefault="00000000" w:rsidRPr="00000000" w14:paraId="0000012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2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2E">
      <w:pPr>
        <w:spacing w:line="240" w:lineRule="auto"/>
        <w:ind w:right="-40.8661417322827"/>
        <w:jc w:val="both"/>
        <w:rPr>
          <w:rFonts w:ascii="Tahoma" w:cs="Tahoma" w:eastAsia="Tahoma" w:hAnsi="Tahoma"/>
          <w:b w:val="1"/>
          <w:bCs w:val="1"/>
          <w:color w:val="007fa1"/>
          <w:sz w:val="20"/>
          <w:szCs w:val="20"/>
        </w:rPr>
      </w:pPr>
      <w:r w:rsidDel="00000000" w:rsidR="00000000" w:rsidRPr="00000000">
        <w:rPr>
          <w:rFonts w:ascii="Tahoma" w:cs="Tahoma" w:eastAsia="Tahoma" w:hAnsi="Tahoma"/>
          <w:b w:val="1"/>
          <w:bCs w:val="1"/>
          <w:color w:val="007fa1"/>
          <w:sz w:val="20"/>
          <w:szCs w:val="20"/>
          <w:rtl w:val="0"/>
        </w:rPr>
        <w:t xml:space="preserve">Source de donnée #2</w:t>
      </w:r>
    </w:p>
    <w:tbl>
      <w:tblPr>
        <w:tblStyle w:val="Table4"/>
        <w:tblW w:w="8640.0" w:type="dxa"/>
        <w:jc w:val="left"/>
        <w:tblInd w:w="-108.0" w:type="dxa"/>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400"/>
      </w:tblPr>
      <w:tblGrid>
        <w:gridCol w:w="1440"/>
        <w:gridCol w:w="7200"/>
        <w:tblGridChange w:id="0">
          <w:tblGrid>
            <w:gridCol w:w="1440"/>
            <w:gridCol w:w="7200"/>
          </w:tblGrid>
        </w:tblGridChange>
      </w:tblGrid>
      <w:tr>
        <w:trPr>
          <w:cantSplit w:val="0"/>
          <w:trHeight w:val="560" w:hRule="atLeast"/>
          <w:tblHeader w:val="0"/>
        </w:trPr>
        <w:tc>
          <w:tcPr>
            <w:shd w:fill="31849b" w:val="clear"/>
            <w:vAlign w:val="center"/>
          </w:tcPr>
          <w:p w:rsidR="00000000" w:rsidDel="00000000" w:rsidP="00000000" w:rsidRDefault="00000000" w:rsidRPr="00000000" w14:paraId="0000012F">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Base de données </w:t>
            </w:r>
          </w:p>
        </w:tc>
        <w:tc>
          <w:tcPr>
            <w:shd w:fill="ffffff" w:val="clear"/>
            <w:vAlign w:val="center"/>
          </w:tcPr>
          <w:p w:rsidR="00000000" w:rsidDel="00000000" w:rsidP="00000000" w:rsidRDefault="00000000" w:rsidRPr="00000000" w14:paraId="00000130">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la base de données &gt;</w:t>
            </w:r>
          </w:p>
          <w:p w:rsidR="00000000" w:rsidDel="00000000" w:rsidP="00000000" w:rsidRDefault="00000000" w:rsidRPr="00000000" w14:paraId="00000131">
            <w:pPr>
              <w:spacing w:line="240" w:lineRule="auto"/>
              <w:ind w:right="-40.8661417322827"/>
              <w:rPr>
                <w:rFonts w:ascii="Tahoma" w:cs="Tahoma" w:eastAsia="Tahoma" w:hAnsi="Tahoma"/>
                <w:sz w:val="20"/>
                <w:szCs w:val="20"/>
              </w:rPr>
            </w:pP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32">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Producteur</w:t>
            </w:r>
          </w:p>
        </w:tc>
        <w:tc>
          <w:tcPr>
            <w:shd w:fill="ffffff" w:val="clear"/>
            <w:vAlign w:val="center"/>
          </w:tcPr>
          <w:p w:rsidR="00000000" w:rsidDel="00000000" w:rsidP="00000000" w:rsidRDefault="00000000" w:rsidRPr="00000000" w14:paraId="00000133">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l’établissement de santé &gt;</w:t>
            </w:r>
          </w:p>
        </w:tc>
      </w:tr>
      <w:tr>
        <w:trPr>
          <w:cantSplit w:val="0"/>
          <w:trHeight w:val="560" w:hRule="atLeast"/>
          <w:tblHeader w:val="0"/>
        </w:trPr>
        <w:tc>
          <w:tcPr>
            <w:shd w:fill="31849b" w:val="clear"/>
            <w:vAlign w:val="center"/>
          </w:tcPr>
          <w:p w:rsidR="00000000" w:rsidDel="00000000" w:rsidP="00000000" w:rsidRDefault="00000000" w:rsidRPr="00000000" w14:paraId="00000134">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Encadrement réglementaire</w:t>
            </w:r>
          </w:p>
        </w:tc>
        <w:tc>
          <w:tcPr>
            <w:shd w:fill="ffffff" w:val="clear"/>
            <w:vAlign w:val="center"/>
          </w:tcPr>
          <w:p w:rsidR="00000000" w:rsidDel="00000000" w:rsidP="00000000" w:rsidRDefault="00000000" w:rsidRPr="00000000" w14:paraId="00000135">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N° d’autorisation XXX (A compléter)</w:t>
            </w:r>
          </w:p>
        </w:tc>
      </w:tr>
      <w:tr>
        <w:trPr>
          <w:cantSplit w:val="0"/>
          <w:trHeight w:val="560" w:hRule="atLeast"/>
          <w:tblHeader w:val="0"/>
        </w:trPr>
        <w:tc>
          <w:tcPr>
            <w:shd w:fill="31849b" w:val="clear"/>
            <w:vAlign w:val="center"/>
          </w:tcPr>
          <w:p w:rsidR="00000000" w:rsidDel="00000000" w:rsidP="00000000" w:rsidRDefault="00000000" w:rsidRPr="00000000" w14:paraId="00000136">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Typologie de données disponibles</w:t>
            </w:r>
          </w:p>
        </w:tc>
        <w:tc>
          <w:tcPr>
            <w:shd w:fill="ffffff" w:val="clear"/>
            <w:vAlign w:val="center"/>
          </w:tcPr>
          <w:p w:rsidR="00000000" w:rsidDel="00000000" w:rsidP="00000000" w:rsidRDefault="00000000" w:rsidRPr="00000000" w14:paraId="00000137">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hospitalières contiennent des informations relatives aux : </w:t>
            </w:r>
          </w:p>
          <w:p w:rsidR="00000000" w:rsidDel="00000000" w:rsidP="00000000" w:rsidRDefault="00000000" w:rsidRPr="00000000" w14:paraId="00000138">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administratives du séjour (Finess, dates de séjour, modes d’entrée/sortie, unités médicales visitées, GHM et GHS, …)</w:t>
            </w:r>
          </w:p>
          <w:p w:rsidR="00000000" w:rsidDel="00000000" w:rsidP="00000000" w:rsidRDefault="00000000" w:rsidRPr="00000000" w14:paraId="00000139">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Diagnostics de maladies</w:t>
            </w:r>
          </w:p>
          <w:p w:rsidR="00000000" w:rsidDel="00000000" w:rsidP="00000000" w:rsidRDefault="00000000" w:rsidRPr="00000000" w14:paraId="0000013A">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Traitements médicamenteux (médicaments, dates de prescription et délivrance, quantités, indication, spécialité du médecin prescripteur, …)</w:t>
            </w:r>
          </w:p>
          <w:p w:rsidR="00000000" w:rsidDel="00000000" w:rsidP="00000000" w:rsidRDefault="00000000" w:rsidRPr="00000000" w14:paraId="0000013B">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Examens médicaux (type d’examen, résultat, date, indication, …)</w:t>
            </w:r>
          </w:p>
          <w:p w:rsidR="00000000" w:rsidDel="00000000" w:rsidP="00000000" w:rsidRDefault="00000000" w:rsidRPr="00000000" w14:paraId="0000013C">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Matériel médical (type de dispositif médical, date de pose, quantité, indication, …)</w:t>
            </w:r>
          </w:p>
          <w:p w:rsidR="00000000" w:rsidDel="00000000" w:rsidP="00000000" w:rsidRDefault="00000000" w:rsidRPr="00000000" w14:paraId="0000013D">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Actes médicaux (type, date, indication, …)</w:t>
            </w:r>
          </w:p>
          <w:p w:rsidR="00000000" w:rsidDel="00000000" w:rsidP="00000000" w:rsidRDefault="00000000" w:rsidRPr="00000000" w14:paraId="0000013E">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liées aux facteurs de risque (tabagisme, consommation d’alcool, IMC, …)</w:t>
            </w:r>
          </w:p>
          <w:p w:rsidR="00000000" w:rsidDel="00000000" w:rsidP="00000000" w:rsidRDefault="00000000" w:rsidRPr="00000000" w14:paraId="0000013F">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issues d’évaluations médicales (scores de sévérité, score IGS2, échelle de douleur, score de Karnofsky, …)</w:t>
            </w:r>
          </w:p>
          <w:p w:rsidR="00000000" w:rsidDel="00000000" w:rsidP="00000000" w:rsidRDefault="00000000" w:rsidRPr="00000000" w14:paraId="00000140">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socio-démographiques (année et mois de naissance, sexe, date de décès, communde de résidence, régime d’assurance maladie, aides d’état, ALD, accident de travail, maladie professionnelle)</w:t>
            </w:r>
          </w:p>
        </w:tc>
      </w:tr>
      <w:tr>
        <w:trPr>
          <w:cantSplit w:val="0"/>
          <w:trHeight w:val="560" w:hRule="atLeast"/>
          <w:tblHeader w:val="0"/>
        </w:trPr>
        <w:tc>
          <w:tcPr>
            <w:shd w:fill="31849b" w:val="clear"/>
            <w:vAlign w:val="center"/>
          </w:tcPr>
          <w:p w:rsidR="00000000" w:rsidDel="00000000" w:rsidP="00000000" w:rsidRDefault="00000000" w:rsidRPr="00000000" w14:paraId="00000141">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Collecte des données</w:t>
            </w:r>
          </w:p>
        </w:tc>
        <w:tc>
          <w:tcPr>
            <w:shd w:fill="ffffff" w:val="clear"/>
            <w:vAlign w:val="center"/>
          </w:tcPr>
          <w:p w:rsidR="00000000" w:rsidDel="00000000" w:rsidP="00000000" w:rsidRDefault="00000000" w:rsidRPr="00000000" w14:paraId="00000142">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sont issues d’une collecte préalable dans le cadre du soin à l’hôpital.</w:t>
            </w:r>
          </w:p>
        </w:tc>
      </w:tr>
      <w:tr>
        <w:trPr>
          <w:cantSplit w:val="0"/>
          <w:trHeight w:val="560" w:hRule="atLeast"/>
          <w:tblHeader w:val="0"/>
        </w:trPr>
        <w:tc>
          <w:tcPr>
            <w:shd w:fill="31849b" w:val="clear"/>
            <w:vAlign w:val="center"/>
          </w:tcPr>
          <w:p w:rsidR="00000000" w:rsidDel="00000000" w:rsidP="00000000" w:rsidRDefault="00000000" w:rsidRPr="00000000" w14:paraId="00000143">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Profondeur historique</w:t>
            </w:r>
          </w:p>
        </w:tc>
        <w:tc>
          <w:tcPr>
            <w:shd w:fill="ffffff" w:val="clear"/>
            <w:vAlign w:val="center"/>
          </w:tcPr>
          <w:p w:rsidR="00000000" w:rsidDel="00000000" w:rsidP="00000000" w:rsidRDefault="00000000" w:rsidRPr="00000000" w14:paraId="00000144">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20XX pour une durée maximum de 20 ans.</w:t>
            </w:r>
          </w:p>
        </w:tc>
      </w:tr>
    </w:tbl>
    <w:p w:rsidR="00000000" w:rsidDel="00000000" w:rsidP="00000000" w:rsidRDefault="00000000" w:rsidRPr="00000000" w14:paraId="00000145">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46">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47">
      <w:pPr>
        <w:spacing w:line="240" w:lineRule="auto"/>
        <w:ind w:right="-40.8661417322827"/>
        <w:jc w:val="both"/>
        <w:rPr>
          <w:rFonts w:ascii="Tahoma" w:cs="Tahoma" w:eastAsia="Tahoma" w:hAnsi="Tahoma"/>
          <w:b w:val="1"/>
          <w:bCs w:val="1"/>
          <w:color w:val="007fa1"/>
          <w:sz w:val="20"/>
          <w:szCs w:val="20"/>
        </w:rPr>
      </w:pPr>
      <w:r w:rsidDel="00000000" w:rsidR="00000000" w:rsidRPr="00000000">
        <w:rPr>
          <w:rFonts w:ascii="Tahoma" w:cs="Tahoma" w:eastAsia="Tahoma" w:hAnsi="Tahoma"/>
          <w:b w:val="1"/>
          <w:bCs w:val="1"/>
          <w:color w:val="007fa1"/>
          <w:sz w:val="20"/>
          <w:szCs w:val="20"/>
          <w:rtl w:val="0"/>
        </w:rPr>
        <w:t xml:space="preserve">Source de donnée #3</w:t>
      </w:r>
    </w:p>
    <w:tbl>
      <w:tblPr>
        <w:tblStyle w:val="Table5"/>
        <w:tblW w:w="8640.0" w:type="dxa"/>
        <w:jc w:val="left"/>
        <w:tblInd w:w="-108.0" w:type="dxa"/>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400"/>
      </w:tblPr>
      <w:tblGrid>
        <w:gridCol w:w="1440"/>
        <w:gridCol w:w="7200"/>
        <w:tblGridChange w:id="0">
          <w:tblGrid>
            <w:gridCol w:w="1440"/>
            <w:gridCol w:w="7200"/>
          </w:tblGrid>
        </w:tblGridChange>
      </w:tblGrid>
      <w:tr>
        <w:trPr>
          <w:cantSplit w:val="0"/>
          <w:trHeight w:val="560" w:hRule="atLeast"/>
          <w:tblHeader w:val="0"/>
        </w:trPr>
        <w:tc>
          <w:tcPr>
            <w:shd w:fill="31849b" w:val="clear"/>
            <w:vAlign w:val="center"/>
          </w:tcPr>
          <w:p w:rsidR="00000000" w:rsidDel="00000000" w:rsidP="00000000" w:rsidRDefault="00000000" w:rsidRPr="00000000" w14:paraId="00000148">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Base de données </w:t>
            </w:r>
          </w:p>
        </w:tc>
        <w:tc>
          <w:tcPr>
            <w:shd w:fill="ffffff" w:val="clear"/>
            <w:vAlign w:val="center"/>
          </w:tcPr>
          <w:p w:rsidR="00000000" w:rsidDel="00000000" w:rsidP="00000000" w:rsidRDefault="00000000" w:rsidRPr="00000000" w14:paraId="00000149">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la base de données &gt;</w:t>
            </w:r>
          </w:p>
          <w:p w:rsidR="00000000" w:rsidDel="00000000" w:rsidP="00000000" w:rsidRDefault="00000000" w:rsidRPr="00000000" w14:paraId="0000014A">
            <w:pPr>
              <w:spacing w:line="240" w:lineRule="auto"/>
              <w:ind w:right="-40.8661417322827"/>
              <w:rPr>
                <w:rFonts w:ascii="Tahoma" w:cs="Tahoma" w:eastAsia="Tahoma" w:hAnsi="Tahoma"/>
                <w:sz w:val="20"/>
                <w:szCs w:val="20"/>
              </w:rPr>
            </w:pP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4B">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Producteur</w:t>
            </w:r>
          </w:p>
        </w:tc>
        <w:tc>
          <w:tcPr>
            <w:shd w:fill="ffffff" w:val="clear"/>
            <w:vAlign w:val="center"/>
          </w:tcPr>
          <w:p w:rsidR="00000000" w:rsidDel="00000000" w:rsidP="00000000" w:rsidRDefault="00000000" w:rsidRPr="00000000" w14:paraId="0000014C">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l’établissement de santé &gt;</w:t>
            </w:r>
          </w:p>
        </w:tc>
      </w:tr>
      <w:tr>
        <w:trPr>
          <w:cantSplit w:val="0"/>
          <w:trHeight w:val="560" w:hRule="atLeast"/>
          <w:tblHeader w:val="0"/>
        </w:trPr>
        <w:tc>
          <w:tcPr>
            <w:shd w:fill="31849b" w:val="clear"/>
            <w:vAlign w:val="center"/>
          </w:tcPr>
          <w:p w:rsidR="00000000" w:rsidDel="00000000" w:rsidP="00000000" w:rsidRDefault="00000000" w:rsidRPr="00000000" w14:paraId="0000014D">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Encadrement réglementaire</w:t>
            </w:r>
          </w:p>
        </w:tc>
        <w:tc>
          <w:tcPr>
            <w:shd w:fill="ffffff" w:val="clear"/>
            <w:vAlign w:val="center"/>
          </w:tcPr>
          <w:p w:rsidR="00000000" w:rsidDel="00000000" w:rsidP="00000000" w:rsidRDefault="00000000" w:rsidRPr="00000000" w14:paraId="0000014E">
            <w:pPr>
              <w:spacing w:line="240" w:lineRule="auto"/>
              <w:ind w:right="-40.8661417322827"/>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Code de la santé publique, Sixième partie : Etablissements et services de santé (Articles L6111-1 à L6441-1)</w:t>
            </w: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4F">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Typologie de données disponibles</w:t>
            </w:r>
          </w:p>
        </w:tc>
        <w:tc>
          <w:tcPr>
            <w:shd w:fill="ffffff" w:val="clear"/>
            <w:vAlign w:val="center"/>
          </w:tcPr>
          <w:p w:rsidR="00000000" w:rsidDel="00000000" w:rsidP="00000000" w:rsidRDefault="00000000" w:rsidRPr="00000000" w14:paraId="00000150">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hospitalières contiennent des informations relatives aux : </w:t>
            </w:r>
          </w:p>
          <w:p w:rsidR="00000000" w:rsidDel="00000000" w:rsidP="00000000" w:rsidRDefault="00000000" w:rsidRPr="00000000" w14:paraId="00000151">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administratives du séjour (Finess, dates de séjour, modes d’entrée/sortie, unités médicales visitées, GHM et GHS, …)</w:t>
            </w:r>
          </w:p>
          <w:p w:rsidR="00000000" w:rsidDel="00000000" w:rsidP="00000000" w:rsidRDefault="00000000" w:rsidRPr="00000000" w14:paraId="00000152">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Diagnostics de maladies</w:t>
            </w:r>
          </w:p>
          <w:p w:rsidR="00000000" w:rsidDel="00000000" w:rsidP="00000000" w:rsidRDefault="00000000" w:rsidRPr="00000000" w14:paraId="00000153">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Traitements médicamenteux (médicaments, dates de prescription et délivrance, quantités, indication, spécialité du médecin prescripteur, …)</w:t>
            </w:r>
          </w:p>
          <w:p w:rsidR="00000000" w:rsidDel="00000000" w:rsidP="00000000" w:rsidRDefault="00000000" w:rsidRPr="00000000" w14:paraId="00000154">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Examens médicaux (type d’examen, résultat, date, indication, …)</w:t>
            </w:r>
          </w:p>
          <w:p w:rsidR="00000000" w:rsidDel="00000000" w:rsidP="00000000" w:rsidRDefault="00000000" w:rsidRPr="00000000" w14:paraId="00000155">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Matériel médical (type de dispositif médical, date de pose, quantité, indication, …)</w:t>
            </w:r>
          </w:p>
          <w:p w:rsidR="00000000" w:rsidDel="00000000" w:rsidP="00000000" w:rsidRDefault="00000000" w:rsidRPr="00000000" w14:paraId="00000156">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Actes médicaux (type, date, indication, …)</w:t>
            </w:r>
          </w:p>
          <w:p w:rsidR="00000000" w:rsidDel="00000000" w:rsidP="00000000" w:rsidRDefault="00000000" w:rsidRPr="00000000" w14:paraId="00000157">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liées aux facteurs de risque (tabagisme, consommation d’alcool, IMC, …)</w:t>
            </w:r>
          </w:p>
          <w:p w:rsidR="00000000" w:rsidDel="00000000" w:rsidP="00000000" w:rsidRDefault="00000000" w:rsidRPr="00000000" w14:paraId="00000158">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issues d’évaluations médicales (scores de sévérité, score IGS2, échelle de douleur, score de Karnofsky, …)</w:t>
            </w:r>
          </w:p>
          <w:p w:rsidR="00000000" w:rsidDel="00000000" w:rsidP="00000000" w:rsidRDefault="00000000" w:rsidRPr="00000000" w14:paraId="00000159">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socio-démographiques (année et mois de naissance, sexe, date de décès, communde de résidence, régime d’assurance maladie, aides d’état, ALD, accident de travail, maladie professionnelle)</w:t>
            </w:r>
          </w:p>
        </w:tc>
      </w:tr>
      <w:tr>
        <w:trPr>
          <w:cantSplit w:val="0"/>
          <w:trHeight w:val="560" w:hRule="atLeast"/>
          <w:tblHeader w:val="0"/>
        </w:trPr>
        <w:tc>
          <w:tcPr>
            <w:shd w:fill="31849b" w:val="clear"/>
            <w:vAlign w:val="center"/>
          </w:tcPr>
          <w:p w:rsidR="00000000" w:rsidDel="00000000" w:rsidP="00000000" w:rsidRDefault="00000000" w:rsidRPr="00000000" w14:paraId="0000015A">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Collecte des données</w:t>
            </w:r>
          </w:p>
        </w:tc>
        <w:tc>
          <w:tcPr>
            <w:shd w:fill="ffffff" w:val="clear"/>
            <w:vAlign w:val="center"/>
          </w:tcPr>
          <w:p w:rsidR="00000000" w:rsidDel="00000000" w:rsidP="00000000" w:rsidRDefault="00000000" w:rsidRPr="00000000" w14:paraId="0000015B">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sont issues d’une collecte préalable dans le cadre du soin à l’hôpital.</w:t>
            </w:r>
          </w:p>
        </w:tc>
      </w:tr>
      <w:tr>
        <w:trPr>
          <w:cantSplit w:val="0"/>
          <w:trHeight w:val="560" w:hRule="atLeast"/>
          <w:tblHeader w:val="0"/>
        </w:trPr>
        <w:tc>
          <w:tcPr>
            <w:shd w:fill="31849b" w:val="clear"/>
            <w:vAlign w:val="center"/>
          </w:tcPr>
          <w:p w:rsidR="00000000" w:rsidDel="00000000" w:rsidP="00000000" w:rsidRDefault="00000000" w:rsidRPr="00000000" w14:paraId="0000015C">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Profondeur historique</w:t>
            </w:r>
          </w:p>
        </w:tc>
        <w:tc>
          <w:tcPr>
            <w:shd w:fill="ffffff" w:val="clear"/>
            <w:vAlign w:val="center"/>
          </w:tcPr>
          <w:p w:rsidR="00000000" w:rsidDel="00000000" w:rsidP="00000000" w:rsidRDefault="00000000" w:rsidRPr="00000000" w14:paraId="0000015D">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20XX pour une durée maximum de 20 ans.</w:t>
            </w:r>
          </w:p>
        </w:tc>
      </w:tr>
    </w:tbl>
    <w:p w:rsidR="00000000" w:rsidDel="00000000" w:rsidP="00000000" w:rsidRDefault="00000000" w:rsidRPr="00000000" w14:paraId="0000015E">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5F">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60">
      <w:pPr>
        <w:spacing w:line="240" w:lineRule="auto"/>
        <w:ind w:right="-40.8661417322827"/>
        <w:jc w:val="both"/>
        <w:rPr>
          <w:rFonts w:ascii="Tahoma" w:cs="Tahoma" w:eastAsia="Tahoma" w:hAnsi="Tahoma"/>
          <w:b w:val="1"/>
          <w:bCs w:val="1"/>
          <w:color w:val="007fa1"/>
          <w:sz w:val="20"/>
          <w:szCs w:val="20"/>
        </w:rPr>
      </w:pPr>
      <w:r w:rsidDel="00000000" w:rsidR="00000000" w:rsidRPr="00000000">
        <w:rPr>
          <w:rFonts w:ascii="Tahoma" w:cs="Tahoma" w:eastAsia="Tahoma" w:hAnsi="Tahoma"/>
          <w:b w:val="1"/>
          <w:bCs w:val="1"/>
          <w:color w:val="007fa1"/>
          <w:sz w:val="20"/>
          <w:szCs w:val="20"/>
          <w:rtl w:val="0"/>
        </w:rPr>
        <w:t xml:space="preserve">Source de donnée #4</w:t>
      </w:r>
    </w:p>
    <w:tbl>
      <w:tblPr>
        <w:tblStyle w:val="Table6"/>
        <w:tblW w:w="8640.0" w:type="dxa"/>
        <w:jc w:val="left"/>
        <w:tblInd w:w="-108.0" w:type="dxa"/>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400"/>
      </w:tblPr>
      <w:tblGrid>
        <w:gridCol w:w="1440"/>
        <w:gridCol w:w="7200"/>
        <w:tblGridChange w:id="0">
          <w:tblGrid>
            <w:gridCol w:w="1440"/>
            <w:gridCol w:w="7200"/>
          </w:tblGrid>
        </w:tblGridChange>
      </w:tblGrid>
      <w:tr>
        <w:trPr>
          <w:cantSplit w:val="0"/>
          <w:trHeight w:val="560" w:hRule="atLeast"/>
          <w:tblHeader w:val="0"/>
        </w:trPr>
        <w:tc>
          <w:tcPr>
            <w:shd w:fill="31849b" w:val="clear"/>
            <w:vAlign w:val="center"/>
          </w:tcPr>
          <w:p w:rsidR="00000000" w:rsidDel="00000000" w:rsidP="00000000" w:rsidRDefault="00000000" w:rsidRPr="00000000" w14:paraId="00000161">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Base de données </w:t>
            </w:r>
          </w:p>
        </w:tc>
        <w:tc>
          <w:tcPr>
            <w:shd w:fill="ffffff" w:val="clear"/>
            <w:vAlign w:val="center"/>
          </w:tcPr>
          <w:p w:rsidR="00000000" w:rsidDel="00000000" w:rsidP="00000000" w:rsidRDefault="00000000" w:rsidRPr="00000000" w14:paraId="00000162">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la base de données &gt;</w:t>
            </w:r>
          </w:p>
          <w:p w:rsidR="00000000" w:rsidDel="00000000" w:rsidP="00000000" w:rsidRDefault="00000000" w:rsidRPr="00000000" w14:paraId="00000163">
            <w:pPr>
              <w:spacing w:line="240" w:lineRule="auto"/>
              <w:ind w:right="-40.8661417322827"/>
              <w:rPr>
                <w:rFonts w:ascii="Tahoma" w:cs="Tahoma" w:eastAsia="Tahoma" w:hAnsi="Tahoma"/>
                <w:sz w:val="20"/>
                <w:szCs w:val="20"/>
              </w:rPr>
            </w:pP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64">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Producteur</w:t>
            </w:r>
          </w:p>
        </w:tc>
        <w:tc>
          <w:tcPr>
            <w:shd w:fill="ffffff" w:val="clear"/>
            <w:vAlign w:val="center"/>
          </w:tcPr>
          <w:p w:rsidR="00000000" w:rsidDel="00000000" w:rsidP="00000000" w:rsidRDefault="00000000" w:rsidRPr="00000000" w14:paraId="00000165">
            <w:pPr>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 nom de l’établissement de santé &gt;</w:t>
            </w:r>
          </w:p>
        </w:tc>
      </w:tr>
      <w:tr>
        <w:trPr>
          <w:cantSplit w:val="0"/>
          <w:trHeight w:val="560" w:hRule="atLeast"/>
          <w:tblHeader w:val="0"/>
        </w:trPr>
        <w:tc>
          <w:tcPr>
            <w:shd w:fill="31849b" w:val="clear"/>
            <w:vAlign w:val="center"/>
          </w:tcPr>
          <w:p w:rsidR="00000000" w:rsidDel="00000000" w:rsidP="00000000" w:rsidRDefault="00000000" w:rsidRPr="00000000" w14:paraId="00000166">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Encadrement réglementaire</w:t>
            </w:r>
          </w:p>
        </w:tc>
        <w:tc>
          <w:tcPr>
            <w:shd w:fill="ffffff" w:val="clear"/>
            <w:vAlign w:val="center"/>
          </w:tcPr>
          <w:p w:rsidR="00000000" w:rsidDel="00000000" w:rsidP="00000000" w:rsidRDefault="00000000" w:rsidRPr="00000000" w14:paraId="00000167">
            <w:pPr>
              <w:spacing w:line="240" w:lineRule="auto"/>
              <w:ind w:right="-40.8661417322827"/>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Code de la santé publique, Articles L6111-1 à L6441-1 (Sixième partie - Etablissements et services de santé - de la Partie législative)</w:t>
            </w: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68">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Typologie de données disponibles</w:t>
            </w:r>
          </w:p>
        </w:tc>
        <w:tc>
          <w:tcPr>
            <w:shd w:fill="ffffff" w:val="clear"/>
            <w:vAlign w:val="center"/>
          </w:tcPr>
          <w:p w:rsidR="00000000" w:rsidDel="00000000" w:rsidP="00000000" w:rsidRDefault="00000000" w:rsidRPr="00000000" w14:paraId="00000169">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hospitalières contiennent des informations relatives aux : </w:t>
            </w:r>
          </w:p>
          <w:p w:rsidR="00000000" w:rsidDel="00000000" w:rsidP="00000000" w:rsidRDefault="00000000" w:rsidRPr="00000000" w14:paraId="0000016A">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administratives du séjour (Finess, dates de séjour, modes d’entrée/sortie, unités médicales visitées, GHM et GHS, …)</w:t>
            </w:r>
          </w:p>
          <w:p w:rsidR="00000000" w:rsidDel="00000000" w:rsidP="00000000" w:rsidRDefault="00000000" w:rsidRPr="00000000" w14:paraId="0000016B">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Diagnostics de maladies</w:t>
            </w:r>
          </w:p>
          <w:p w:rsidR="00000000" w:rsidDel="00000000" w:rsidP="00000000" w:rsidRDefault="00000000" w:rsidRPr="00000000" w14:paraId="0000016C">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Traitements médicamenteux (médicaments, dates de prescription et délivrance, quantités, indication, spécialité du médecin prescripteur, …)</w:t>
            </w:r>
          </w:p>
          <w:p w:rsidR="00000000" w:rsidDel="00000000" w:rsidP="00000000" w:rsidRDefault="00000000" w:rsidRPr="00000000" w14:paraId="0000016D">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Examens médicaux (type d’examen, résultat, date, indication, …)</w:t>
            </w:r>
          </w:p>
          <w:p w:rsidR="00000000" w:rsidDel="00000000" w:rsidP="00000000" w:rsidRDefault="00000000" w:rsidRPr="00000000" w14:paraId="0000016E">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Matériel médical (type de dispositif médical, date de pose, quantité, indication, …)</w:t>
            </w:r>
          </w:p>
          <w:p w:rsidR="00000000" w:rsidDel="00000000" w:rsidP="00000000" w:rsidRDefault="00000000" w:rsidRPr="00000000" w14:paraId="0000016F">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Actes médicaux (type, date, indication, …)</w:t>
            </w:r>
          </w:p>
          <w:p w:rsidR="00000000" w:rsidDel="00000000" w:rsidP="00000000" w:rsidRDefault="00000000" w:rsidRPr="00000000" w14:paraId="00000170">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liées aux facteurs de risque (tabagisme, consommation d’alcool, IMC, …)</w:t>
            </w:r>
          </w:p>
          <w:p w:rsidR="00000000" w:rsidDel="00000000" w:rsidP="00000000" w:rsidRDefault="00000000" w:rsidRPr="00000000" w14:paraId="00000171">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issues d’évaluations médicales (scores de sévérité, score IGS2, échelle de douleur, score de Karnofsky, …)</w:t>
            </w:r>
          </w:p>
          <w:p w:rsidR="00000000" w:rsidDel="00000000" w:rsidP="00000000" w:rsidRDefault="00000000" w:rsidRPr="00000000" w14:paraId="00000172">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socio-démographiques (année et mois de naissance, sexe, date de décès, communde de résidence, régime d’assurance maladie, aides d’état, ALD, accident de travail, maladie professionnelle)</w:t>
            </w:r>
          </w:p>
        </w:tc>
      </w:tr>
      <w:tr>
        <w:trPr>
          <w:cantSplit w:val="0"/>
          <w:trHeight w:val="560" w:hRule="atLeast"/>
          <w:tblHeader w:val="0"/>
        </w:trPr>
        <w:tc>
          <w:tcPr>
            <w:shd w:fill="31849b" w:val="clear"/>
            <w:vAlign w:val="center"/>
          </w:tcPr>
          <w:p w:rsidR="00000000" w:rsidDel="00000000" w:rsidP="00000000" w:rsidRDefault="00000000" w:rsidRPr="00000000" w14:paraId="00000173">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Collecte des données</w:t>
            </w:r>
          </w:p>
        </w:tc>
        <w:tc>
          <w:tcPr>
            <w:shd w:fill="ffffff" w:val="clear"/>
            <w:vAlign w:val="center"/>
          </w:tcPr>
          <w:p w:rsidR="00000000" w:rsidDel="00000000" w:rsidP="00000000" w:rsidRDefault="00000000" w:rsidRPr="00000000" w14:paraId="00000174">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Les données sont issues d’une collecte préalable dans le cadre du soin à l’hôpital.</w:t>
            </w:r>
          </w:p>
        </w:tc>
      </w:tr>
      <w:tr>
        <w:trPr>
          <w:cantSplit w:val="0"/>
          <w:trHeight w:val="560" w:hRule="atLeast"/>
          <w:tblHeader w:val="0"/>
        </w:trPr>
        <w:tc>
          <w:tcPr>
            <w:shd w:fill="31849b" w:val="clear"/>
            <w:vAlign w:val="center"/>
          </w:tcPr>
          <w:p w:rsidR="00000000" w:rsidDel="00000000" w:rsidP="00000000" w:rsidRDefault="00000000" w:rsidRPr="00000000" w14:paraId="00000175">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Profondeur historique</w:t>
            </w:r>
          </w:p>
        </w:tc>
        <w:tc>
          <w:tcPr>
            <w:shd w:fill="ffffff" w:val="clear"/>
            <w:vAlign w:val="center"/>
          </w:tcPr>
          <w:p w:rsidR="00000000" w:rsidDel="00000000" w:rsidP="00000000" w:rsidRDefault="00000000" w:rsidRPr="00000000" w14:paraId="00000176">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20XX pour une durée maximum de 20 ans.</w:t>
            </w:r>
          </w:p>
        </w:tc>
      </w:tr>
    </w:tbl>
    <w:p w:rsidR="00000000" w:rsidDel="00000000" w:rsidP="00000000" w:rsidRDefault="00000000" w:rsidRPr="00000000" w14:paraId="00000177">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8">
      <w:pPr>
        <w:spacing w:line="240" w:lineRule="auto"/>
        <w:ind w:right="-40.8661417322827"/>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9">
      <w:pPr>
        <w:spacing w:line="240" w:lineRule="auto"/>
        <w:ind w:right="-40.8661417322827"/>
        <w:jc w:val="both"/>
        <w:rPr>
          <w:rFonts w:ascii="Tahoma" w:cs="Tahoma" w:eastAsia="Tahoma" w:hAnsi="Tahoma"/>
          <w:b w:val="1"/>
          <w:bCs w:val="1"/>
          <w:color w:val="007fa1"/>
          <w:sz w:val="20"/>
          <w:szCs w:val="20"/>
        </w:rPr>
      </w:pPr>
      <w:r w:rsidDel="00000000" w:rsidR="00000000" w:rsidRPr="00000000">
        <w:rPr>
          <w:rFonts w:ascii="Tahoma" w:cs="Tahoma" w:eastAsia="Tahoma" w:hAnsi="Tahoma"/>
          <w:b w:val="1"/>
          <w:bCs w:val="1"/>
          <w:color w:val="007fa1"/>
          <w:sz w:val="20"/>
          <w:szCs w:val="20"/>
          <w:rtl w:val="0"/>
        </w:rPr>
        <w:t xml:space="preserve">Source de donnée #5</w:t>
      </w:r>
    </w:p>
    <w:tbl>
      <w:tblPr>
        <w:tblStyle w:val="Table7"/>
        <w:tblW w:w="8640.0" w:type="dxa"/>
        <w:jc w:val="left"/>
        <w:tblInd w:w="-108.0" w:type="dxa"/>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400"/>
      </w:tblPr>
      <w:tblGrid>
        <w:gridCol w:w="1440"/>
        <w:gridCol w:w="7200"/>
        <w:tblGridChange w:id="0">
          <w:tblGrid>
            <w:gridCol w:w="1440"/>
            <w:gridCol w:w="7200"/>
          </w:tblGrid>
        </w:tblGridChange>
      </w:tblGrid>
      <w:tr>
        <w:trPr>
          <w:cantSplit w:val="0"/>
          <w:trHeight w:val="560" w:hRule="atLeast"/>
          <w:tblHeader w:val="0"/>
        </w:trPr>
        <w:tc>
          <w:tcPr>
            <w:shd w:fill="31849b" w:val="clear"/>
            <w:vAlign w:val="center"/>
          </w:tcPr>
          <w:p w:rsidR="00000000" w:rsidDel="00000000" w:rsidP="00000000" w:rsidRDefault="00000000" w:rsidRPr="00000000" w14:paraId="0000017A">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Base de données </w:t>
            </w:r>
          </w:p>
        </w:tc>
        <w:tc>
          <w:tcPr>
            <w:shd w:fill="ffffff" w:val="clear"/>
            <w:vAlign w:val="center"/>
          </w:tcPr>
          <w:p w:rsidR="00000000" w:rsidDel="00000000" w:rsidP="00000000" w:rsidRDefault="00000000" w:rsidRPr="00000000" w14:paraId="0000017B">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Système National des Données de Santé (SNDS) - Base principale</w:t>
            </w:r>
          </w:p>
          <w:p w:rsidR="00000000" w:rsidDel="00000000" w:rsidP="00000000" w:rsidRDefault="00000000" w:rsidRPr="00000000" w14:paraId="0000017C">
            <w:pPr>
              <w:spacing w:line="240" w:lineRule="auto"/>
              <w:ind w:right="-40.8661417322827"/>
              <w:rPr>
                <w:rFonts w:ascii="Tahoma" w:cs="Tahoma" w:eastAsia="Tahoma" w:hAnsi="Tahoma"/>
                <w:sz w:val="20"/>
                <w:szCs w:val="20"/>
              </w:rPr>
            </w:pP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7D">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Producteur</w:t>
            </w:r>
          </w:p>
        </w:tc>
        <w:tc>
          <w:tcPr>
            <w:shd w:fill="ffffff" w:val="clear"/>
            <w:vAlign w:val="center"/>
          </w:tcPr>
          <w:p w:rsidR="00000000" w:rsidDel="00000000" w:rsidP="00000000" w:rsidRDefault="00000000" w:rsidRPr="00000000" w14:paraId="0000017E">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Caisse nationale de l’Assurance Maladie (CNAM)</w:t>
            </w:r>
          </w:p>
        </w:tc>
      </w:tr>
      <w:tr>
        <w:trPr>
          <w:cantSplit w:val="0"/>
          <w:trHeight w:val="560" w:hRule="atLeast"/>
          <w:tblHeader w:val="0"/>
        </w:trPr>
        <w:tc>
          <w:tcPr>
            <w:shd w:fill="31849b" w:val="clear"/>
            <w:vAlign w:val="center"/>
          </w:tcPr>
          <w:p w:rsidR="00000000" w:rsidDel="00000000" w:rsidP="00000000" w:rsidRDefault="00000000" w:rsidRPr="00000000" w14:paraId="0000017F">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Encadrement réglementaire</w:t>
            </w:r>
          </w:p>
        </w:tc>
        <w:tc>
          <w:tcPr>
            <w:shd w:fill="ffffff" w:val="clear"/>
            <w:vAlign w:val="center"/>
          </w:tcPr>
          <w:p w:rsidR="00000000" w:rsidDel="00000000" w:rsidP="00000000" w:rsidRDefault="00000000" w:rsidRPr="00000000" w14:paraId="00000180">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Code de la santé publique, Articles L1461-1 à L1461-7 (Chapitre Ier - Système national des données de santé - du Titre IV du Livre IV de la Première partie de la Partie législative) </w:t>
            </w:r>
          </w:p>
        </w:tc>
      </w:tr>
      <w:tr>
        <w:trPr>
          <w:cantSplit w:val="0"/>
          <w:trHeight w:val="560" w:hRule="atLeast"/>
          <w:tblHeader w:val="0"/>
        </w:trPr>
        <w:tc>
          <w:tcPr>
            <w:shd w:fill="31849b" w:val="clear"/>
            <w:vAlign w:val="center"/>
          </w:tcPr>
          <w:p w:rsidR="00000000" w:rsidDel="00000000" w:rsidP="00000000" w:rsidRDefault="00000000" w:rsidRPr="00000000" w14:paraId="00000181">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Typologie de données disponibles</w:t>
            </w:r>
          </w:p>
        </w:tc>
        <w:tc>
          <w:tcPr>
            <w:shd w:fill="ffffff" w:val="clear"/>
            <w:vAlign w:val="center"/>
          </w:tcPr>
          <w:p w:rsidR="00000000" w:rsidDel="00000000" w:rsidP="00000000" w:rsidRDefault="00000000" w:rsidRPr="00000000" w14:paraId="00000182">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La base principale du SNDS contient des données relatives aux :</w:t>
            </w:r>
          </w:p>
          <w:p w:rsidR="00000000" w:rsidDel="00000000" w:rsidP="00000000" w:rsidRDefault="00000000" w:rsidRPr="00000000" w14:paraId="00000183">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sur le bénéficiaire (sexe, mois et année de naissance, rang de naissance, lieu de résidence, régime, couverture maladie universelle complémentaire, aide à la complémentaire santé) ;</w:t>
            </w:r>
          </w:p>
          <w:p w:rsidR="00000000" w:rsidDel="00000000" w:rsidP="00000000" w:rsidRDefault="00000000" w:rsidRPr="00000000" w14:paraId="00000184">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Informations sur les professionnels de santé (spécialité, mode d’exercice, sexe, âge, département d’implantation)</w:t>
            </w:r>
          </w:p>
          <w:p w:rsidR="00000000" w:rsidDel="00000000" w:rsidP="00000000" w:rsidRDefault="00000000" w:rsidRPr="00000000" w14:paraId="00000185">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Pathologies, notamment les affections de longue durée et les diagnostics des séjours hospitaliers ;</w:t>
            </w:r>
          </w:p>
          <w:p w:rsidR="00000000" w:rsidDel="00000000" w:rsidP="00000000" w:rsidRDefault="00000000" w:rsidRPr="00000000" w14:paraId="00000186">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Dépenses et remboursements des prestations en soins de ville, en établissements de santé (consommations de soins hospitaliers ou en ville, prescriptions, dispositifs médicaux, montants et indemnités,etc.)</w:t>
            </w:r>
          </w:p>
          <w:p w:rsidR="00000000" w:rsidDel="00000000" w:rsidP="00000000" w:rsidRDefault="00000000" w:rsidRPr="00000000" w14:paraId="00000187">
            <w:pPr>
              <w:numPr>
                <w:ilvl w:val="0"/>
                <w:numId w:val="34"/>
              </w:numPr>
              <w:spacing w:line="240" w:lineRule="auto"/>
              <w:ind w:left="1440" w:right="-40.8661417322827" w:hanging="360"/>
              <w:rPr>
                <w:rFonts w:ascii="Tahoma" w:cs="Tahoma" w:eastAsia="Tahoma" w:hAnsi="Tahoma"/>
                <w:sz w:val="20"/>
                <w:szCs w:val="20"/>
              </w:rPr>
            </w:pPr>
            <w:r w:rsidDel="00000000" w:rsidR="00000000" w:rsidRPr="00000000">
              <w:rPr>
                <w:rFonts w:ascii="Tahoma" w:cs="Tahoma" w:eastAsia="Tahoma" w:hAnsi="Tahoma"/>
                <w:sz w:val="20"/>
                <w:szCs w:val="20"/>
                <w:rtl w:val="0"/>
              </w:rPr>
              <w:t xml:space="preserve">Causes médicales de décès</w:t>
            </w:r>
          </w:p>
          <w:p w:rsidR="00000000" w:rsidDel="00000000" w:rsidP="00000000" w:rsidRDefault="00000000" w:rsidRPr="00000000" w14:paraId="00000188">
            <w:pPr>
              <w:numPr>
                <w:ilvl w:val="0"/>
                <w:numId w:val="34"/>
              </w:numPr>
              <w:spacing w:line="240" w:lineRule="auto"/>
              <w:ind w:left="1440" w:right="-40.8661417322827" w:hanging="360"/>
            </w:pPr>
            <w:r w:rsidDel="00000000" w:rsidR="00000000" w:rsidRPr="00000000">
              <w:rPr>
                <w:rFonts w:ascii="Tahoma" w:cs="Tahoma" w:eastAsia="Tahoma" w:hAnsi="Tahoma"/>
                <w:sz w:val="20"/>
                <w:szCs w:val="20"/>
                <w:rtl w:val="0"/>
              </w:rPr>
              <w:t xml:space="preserve">Informations sur de potentiels handicaps</w:t>
            </w:r>
            <w:r w:rsidDel="00000000" w:rsidR="00000000" w:rsidRPr="00000000">
              <w:rPr>
                <w:rtl w:val="0"/>
              </w:rPr>
            </w:r>
          </w:p>
        </w:tc>
      </w:tr>
      <w:tr>
        <w:trPr>
          <w:cantSplit w:val="0"/>
          <w:trHeight w:val="560" w:hRule="atLeast"/>
          <w:tblHeader w:val="0"/>
        </w:trPr>
        <w:tc>
          <w:tcPr>
            <w:shd w:fill="31849b" w:val="clear"/>
            <w:vAlign w:val="center"/>
          </w:tcPr>
          <w:p w:rsidR="00000000" w:rsidDel="00000000" w:rsidP="00000000" w:rsidRDefault="00000000" w:rsidRPr="00000000" w14:paraId="00000189">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Collecte des données</w:t>
            </w:r>
          </w:p>
        </w:tc>
        <w:tc>
          <w:tcPr>
            <w:shd w:fill="ffffff" w:val="clear"/>
            <w:vAlign w:val="center"/>
          </w:tcPr>
          <w:p w:rsidR="00000000" w:rsidDel="00000000" w:rsidP="00000000" w:rsidRDefault="00000000" w:rsidRPr="00000000" w14:paraId="0000018A">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La CNAM consolide et pseudonymise les données :</w:t>
            </w:r>
          </w:p>
          <w:p w:rsidR="00000000" w:rsidDel="00000000" w:rsidP="00000000" w:rsidRDefault="00000000" w:rsidRPr="00000000" w14:paraId="0000018B">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 de l’Assurance Maladie (consommations de soins en ville et en établissement remontées dans le SNIIRAM,) depuis 2006</w:t>
            </w:r>
          </w:p>
          <w:p w:rsidR="00000000" w:rsidDel="00000000" w:rsidP="00000000" w:rsidRDefault="00000000" w:rsidRPr="00000000" w14:paraId="0000018C">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 hospitalières du PMSI issues de l’ATIH, depuis 2006</w:t>
            </w:r>
          </w:p>
          <w:p w:rsidR="00000000" w:rsidDel="00000000" w:rsidP="00000000" w:rsidRDefault="00000000" w:rsidRPr="00000000" w14:paraId="0000018D">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 sur les causes médicales de décès du CépiDC, depuis 2006 (aujourd’hui 2006-2018)</w:t>
            </w:r>
          </w:p>
          <w:p w:rsidR="00000000" w:rsidDel="00000000" w:rsidP="00000000" w:rsidRDefault="00000000" w:rsidRPr="00000000" w14:paraId="0000018E">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 sur les données relatives au handicap (MDPH) issues des maisons départementales des personnes handicapées (pas encore intégrée au SNDS à date)</w:t>
            </w:r>
          </w:p>
        </w:tc>
      </w:tr>
      <w:tr>
        <w:trPr>
          <w:cantSplit w:val="0"/>
          <w:trHeight w:val="560" w:hRule="atLeast"/>
          <w:tblHeader w:val="0"/>
        </w:trPr>
        <w:tc>
          <w:tcPr>
            <w:shd w:fill="31849b" w:val="clear"/>
            <w:vAlign w:val="center"/>
          </w:tcPr>
          <w:p w:rsidR="00000000" w:rsidDel="00000000" w:rsidP="00000000" w:rsidRDefault="00000000" w:rsidRPr="00000000" w14:paraId="0000018F">
            <w:pPr>
              <w:spacing w:line="240" w:lineRule="auto"/>
              <w:ind w:right="-40.8661417322827"/>
              <w:rPr>
                <w:rFonts w:ascii="Tahoma" w:cs="Tahoma" w:eastAsia="Tahoma" w:hAnsi="Tahoma"/>
                <w:b w:val="1"/>
                <w:bCs w:val="1"/>
                <w:color w:val="ffffff"/>
                <w:sz w:val="20"/>
                <w:szCs w:val="20"/>
              </w:rPr>
            </w:pPr>
            <w:r w:rsidDel="00000000" w:rsidR="00000000" w:rsidRPr="00000000">
              <w:rPr>
                <w:rFonts w:ascii="Tahoma" w:cs="Tahoma" w:eastAsia="Tahoma" w:hAnsi="Tahoma"/>
                <w:b w:val="1"/>
                <w:bCs w:val="1"/>
                <w:color w:val="ffffff"/>
                <w:sz w:val="20"/>
                <w:szCs w:val="20"/>
                <w:rtl w:val="0"/>
              </w:rPr>
              <w:t xml:space="preserve">Profondeur historique</w:t>
            </w:r>
          </w:p>
        </w:tc>
        <w:tc>
          <w:tcPr>
            <w:shd w:fill="ffffff" w:val="clear"/>
            <w:vAlign w:val="center"/>
          </w:tcPr>
          <w:p w:rsidR="00000000" w:rsidDel="00000000" w:rsidP="00000000" w:rsidRDefault="00000000" w:rsidRPr="00000000" w14:paraId="00000190">
            <w:pPr>
              <w:spacing w:line="240" w:lineRule="auto"/>
              <w:ind w:right="-40.8661417322827"/>
              <w:rPr>
                <w:rFonts w:ascii="Tahoma" w:cs="Tahoma" w:eastAsia="Tahoma" w:hAnsi="Tahoma"/>
                <w:sz w:val="20"/>
                <w:szCs w:val="20"/>
              </w:rPr>
            </w:pPr>
            <w:r w:rsidDel="00000000" w:rsidR="00000000" w:rsidRPr="00000000">
              <w:rPr>
                <w:rFonts w:ascii="Tahoma" w:cs="Tahoma" w:eastAsia="Tahoma" w:hAnsi="Tahoma"/>
                <w:sz w:val="20"/>
                <w:szCs w:val="20"/>
                <w:rtl w:val="0"/>
              </w:rPr>
              <w:t xml:space="preserve">2015 pour une durée maximum de 20 ans à partir de la mise à disposition des données.</w:t>
            </w:r>
          </w:p>
          <w:p w:rsidR="00000000" w:rsidDel="00000000" w:rsidP="00000000" w:rsidRDefault="00000000" w:rsidRPr="00000000" w14:paraId="00000191">
            <w:pPr>
              <w:spacing w:line="240" w:lineRule="auto"/>
              <w:ind w:right="-40.8661417322827"/>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9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4">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flk61er9q126" w:id="20"/>
      <w:bookmarkEnd w:id="20"/>
      <w:r w:rsidDel="00000000" w:rsidR="00000000" w:rsidRPr="00000000">
        <w:rPr>
          <w:b w:val="0"/>
          <w:bCs w:val="0"/>
          <w:sz w:val="28"/>
          <w:szCs w:val="28"/>
          <w:rtl w:val="0"/>
        </w:rPr>
        <w:t xml:space="preserve">Population(s) concernée(s)</w:t>
      </w:r>
    </w:p>
    <w:p w:rsidR="00000000" w:rsidDel="00000000" w:rsidP="00000000" w:rsidRDefault="00000000" w:rsidRPr="00000000" w14:paraId="0000019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cohorte intégrée dans le &lt; nom de l'entrepôt &gt; est constituée de patients &lt; description de la population &gt;. . Chaque centre sélectionne un sous-groupe de patients parmi les patients hospitalisés dans son établissement sur la période d’inclusion, en se basant : </w:t>
      </w:r>
    </w:p>
    <w:p w:rsidR="00000000" w:rsidDel="00000000" w:rsidP="00000000" w:rsidRDefault="00000000" w:rsidRPr="00000000" w14:paraId="00000197">
      <w:pPr>
        <w:numPr>
          <w:ilvl w:val="0"/>
          <w:numId w:val="1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sur sa capacité à informer le patient du traitement de ses données </w:t>
      </w:r>
    </w:p>
    <w:p w:rsidR="00000000" w:rsidDel="00000000" w:rsidP="00000000" w:rsidRDefault="00000000" w:rsidRPr="00000000" w14:paraId="00000198">
      <w:pPr>
        <w:numPr>
          <w:ilvl w:val="0"/>
          <w:numId w:val="1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sur les domaines médicaux d'intérêt identifiés pour le &lt; nom de l'entrepôt &gt; repérés, par exemple, grâce aux codes médicaux associés aux séjours ou autres codes traceurs. Parmi les domaines médicaux d’intérêt figurent notamment les spécialités nutrition/métabolisme/cardiologie, neurologie, oncologie, gériatrie, pédiatrie, infectiologie, hépatologie, appareil locomoteur, immunologie et allergologie. </w:t>
      </w:r>
    </w:p>
    <w:p w:rsidR="00000000" w:rsidDel="00000000" w:rsidP="00000000" w:rsidRDefault="00000000" w:rsidRPr="00000000" w14:paraId="0000019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A">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Chaque centre fournit à &lt; nom de l'entrepôt &gt; de nouveaux patients chaque année ; il s’agit d’une cohorte ouverte. Les contributions en nombre de patients apportés par chaque centre sera variable en fonction des années et dépendra notamment de la maturité des établissements hospitaliers et des pathologies d’intérêt ciblés dans chaque centre. Le nombre de patients intégrés dans l’EDS est estimé entre X et X par année à partir des chiffres fournis par les centres participants sur le nombre de patients par spécialité médicale sur une période de 12 mois calendaires. </w:t>
      </w:r>
    </w:p>
    <w:p w:rsidR="00000000" w:rsidDel="00000000" w:rsidP="00000000" w:rsidRDefault="00000000" w:rsidRPr="00000000" w14:paraId="0000019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Afin de pouvoir réaliser des études épidémiologiques sur des effets reprotoxiques liés à certains médicaments, il est également envisagé d’identifier les enfants nés depuis 20XX des femmes patientes des centres incluses dans la cohorte de &lt; nom de l'entrepôt &gt;. Ces enfants seront identifiés dans la base principale du SNDS grâce au numéro anonyme mère-enfant (NIR_ANO_MAM) présent dans le PMSI et leurs données SNDS seront intégrées dans le &lt; nom de l'entrepôt &gt;. L’année 20XX a été choisie comme date de début de prise en compte des naissances pour coller à la date de disponibilité des premières données SNDS dans le &lt; nom de l'entrepôt &gt;.</w:t>
      </w:r>
    </w:p>
    <w:p w:rsidR="00000000" w:rsidDel="00000000" w:rsidP="00000000" w:rsidRDefault="00000000" w:rsidRPr="00000000" w14:paraId="0000019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9E">
      <w:pPr>
        <w:spacing w:line="240" w:lineRule="auto"/>
        <w:ind w:right="-40.8661417322827"/>
        <w:jc w:val="both"/>
        <w:rPr>
          <w:rFonts w:ascii="Tahoma" w:cs="Tahoma" w:eastAsia="Tahoma" w:hAnsi="Tahoma"/>
          <w:highlight w:val="yellow"/>
        </w:rPr>
      </w:pPr>
      <w:r w:rsidDel="00000000" w:rsidR="00000000" w:rsidRPr="00000000">
        <w:rPr>
          <w:rFonts w:ascii="Tahoma" w:cs="Tahoma" w:eastAsia="Tahoma" w:hAnsi="Tahoma"/>
          <w:rtl w:val="0"/>
        </w:rPr>
        <w:t xml:space="preserve">Dans le but de faciliter la réalisation d’études épidémiologiques (type cas-témoin), il est également envisagé d’intégrer dans le &lt; nom de l'entrepôt &gt; des données de la base principale du SNDS pour une population témoin. Cette dernière sera tirée au sort dans ces mêmes données sur la base des nouveaux patients inclus suivant un ratio 1:3 (1 patient pour 3 témoins) sur le sexe, l’année de naissance et le département de résidence. Afin de ne pas trop agrandir la population de &lt; nom de l'entrepôt &gt;, un ratio de trois témoins a été retenu car généralement la puissance statistique des analyses cas-témoin n’est pas améliorée au-delà</w:t>
      </w:r>
      <w:r w:rsidDel="00000000" w:rsidR="00000000" w:rsidRPr="00000000">
        <w:rPr>
          <w:rFonts w:ascii="Tahoma" w:cs="Tahoma" w:eastAsia="Tahoma" w:hAnsi="Tahoma"/>
          <w:vertAlign w:val="superscript"/>
        </w:rPr>
        <w:footnoteReference w:customMarkFollows="0" w:id="0"/>
      </w:r>
      <w:r w:rsidDel="00000000" w:rsidR="00000000" w:rsidRPr="00000000">
        <w:rPr>
          <w:rFonts w:ascii="Tahoma" w:cs="Tahoma" w:eastAsia="Tahoma" w:hAnsi="Tahoma"/>
          <w:rtl w:val="0"/>
        </w:rPr>
        <w:t xml:space="preserve">.</w:t>
      </w:r>
      <w:r w:rsidDel="00000000" w:rsidR="00000000" w:rsidRPr="00000000">
        <w:rPr>
          <w:rtl w:val="0"/>
        </w:rPr>
      </w:r>
    </w:p>
    <w:p w:rsidR="00000000" w:rsidDel="00000000" w:rsidP="00000000" w:rsidRDefault="00000000" w:rsidRPr="00000000" w14:paraId="0000019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A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A1">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65gel7ujx6r6" w:id="21"/>
      <w:bookmarkEnd w:id="21"/>
      <w:r w:rsidDel="00000000" w:rsidR="00000000" w:rsidRPr="00000000">
        <w:rPr>
          <w:b w:val="0"/>
          <w:bCs w:val="0"/>
          <w:sz w:val="28"/>
          <w:szCs w:val="28"/>
          <w:rtl w:val="0"/>
        </w:rPr>
        <w:t xml:space="preserve">Catégories de données et variables</w:t>
      </w:r>
    </w:p>
    <w:p w:rsidR="00000000" w:rsidDel="00000000" w:rsidP="00000000" w:rsidRDefault="00000000" w:rsidRPr="00000000" w14:paraId="000001A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1A3">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extraites et transmises sur la plateforme du &lt; nom du responsable de traitement &gt; ne comportent pas de données nominatives, et contiennent uniquement des données structurées pseudonymisées. Dans le cadre de l’appariement direct à la base principale du SNDS, les centres participants auront néanmoins vocation à extraire le NIR (Numéro d’Inscription au Répertoire), la date de naissance et le sexe des patients. Les NIRs seront transmis à la CNAM pour l’appariement à la base principale du SNDS et exclusivement utilisés à cet effet ; ils n'intègrent pas le &lt; nom de l'entrepôt &gt; (cf. partie 4).</w:t>
      </w:r>
    </w:p>
    <w:p w:rsidR="00000000" w:rsidDel="00000000" w:rsidP="00000000" w:rsidRDefault="00000000" w:rsidRPr="00000000" w14:paraId="000001A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A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recueillies et transférées par les centres participants incluront :</w:t>
      </w:r>
    </w:p>
    <w:p w:rsidR="00000000" w:rsidDel="00000000" w:rsidP="00000000" w:rsidRDefault="00000000" w:rsidRPr="00000000" w14:paraId="000001A6">
      <w:pPr>
        <w:numPr>
          <w:ilvl w:val="0"/>
          <w:numId w:val="5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transférées au &lt; nom du responsable de traitement &gt; :</w:t>
      </w:r>
    </w:p>
    <w:p w:rsidR="00000000" w:rsidDel="00000000" w:rsidP="00000000" w:rsidRDefault="00000000" w:rsidRPr="00000000" w14:paraId="000001A7">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administratives de l'établissement</w:t>
      </w:r>
    </w:p>
    <w:p w:rsidR="00000000" w:rsidDel="00000000" w:rsidP="00000000" w:rsidRDefault="00000000" w:rsidRPr="00000000" w14:paraId="000001A8">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relatives aux séjours hospitaliers</w:t>
      </w:r>
    </w:p>
    <w:p w:rsidR="00000000" w:rsidDel="00000000" w:rsidP="00000000" w:rsidRDefault="00000000" w:rsidRPr="00000000" w14:paraId="000001A9">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Informations relatives aux diagnostics</w:t>
      </w:r>
    </w:p>
    <w:p w:rsidR="00000000" w:rsidDel="00000000" w:rsidP="00000000" w:rsidRDefault="00000000" w:rsidRPr="00000000" w14:paraId="000001AA">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Circuit du médicament (prescription, indication, délivrance, administration, spécialité praticien)</w:t>
      </w:r>
    </w:p>
    <w:p w:rsidR="00000000" w:rsidDel="00000000" w:rsidP="00000000" w:rsidRDefault="00000000" w:rsidRPr="00000000" w14:paraId="000001AB">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Examens biologiques</w:t>
      </w:r>
    </w:p>
    <w:p w:rsidR="00000000" w:rsidDel="00000000" w:rsidP="00000000" w:rsidRDefault="00000000" w:rsidRPr="00000000" w14:paraId="000001AC">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Examens cliniques</w:t>
      </w:r>
    </w:p>
    <w:p w:rsidR="00000000" w:rsidDel="00000000" w:rsidP="00000000" w:rsidRDefault="00000000" w:rsidRPr="00000000" w14:paraId="000001AD">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Dispositifs médicaux</w:t>
      </w:r>
    </w:p>
    <w:p w:rsidR="00000000" w:rsidDel="00000000" w:rsidP="00000000" w:rsidRDefault="00000000" w:rsidRPr="00000000" w14:paraId="000001AE">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Facteurs de risques</w:t>
      </w:r>
    </w:p>
    <w:p w:rsidR="00000000" w:rsidDel="00000000" w:rsidP="00000000" w:rsidRDefault="00000000" w:rsidRPr="00000000" w14:paraId="000001AF">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Évaluation des patients (échelle de performance)</w:t>
      </w:r>
    </w:p>
    <w:p w:rsidR="00000000" w:rsidDel="00000000" w:rsidP="00000000" w:rsidRDefault="00000000" w:rsidRPr="00000000" w14:paraId="000001B0">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Caractéristique sociodémographique du patient (mois et année de naissance, sexe, département de résidence, bénéficiaire de la CMU, etc.)</w:t>
      </w:r>
    </w:p>
    <w:p w:rsidR="00000000" w:rsidDel="00000000" w:rsidP="00000000" w:rsidRDefault="00000000" w:rsidRPr="00000000" w14:paraId="000001B1">
      <w:pPr>
        <w:numPr>
          <w:ilvl w:val="0"/>
          <w:numId w:val="5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transférées à la CNAM pour l’appariement à la base principale du SNDS (flux non intégré dans le &lt; nom de l'entrepôt &gt; - cf. partie 4) :</w:t>
      </w:r>
    </w:p>
    <w:p w:rsidR="00000000" w:rsidDel="00000000" w:rsidP="00000000" w:rsidRDefault="00000000" w:rsidRPr="00000000" w14:paraId="000001B2">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NIR des patients</w:t>
      </w:r>
    </w:p>
    <w:p w:rsidR="00000000" w:rsidDel="00000000" w:rsidP="00000000" w:rsidRDefault="00000000" w:rsidRPr="00000000" w14:paraId="000001B3">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Sexe des patients </w:t>
      </w:r>
    </w:p>
    <w:p w:rsidR="00000000" w:rsidDel="00000000" w:rsidP="00000000" w:rsidRDefault="00000000" w:rsidRPr="00000000" w14:paraId="000001B4">
      <w:pPr>
        <w:numPr>
          <w:ilvl w:val="1"/>
          <w:numId w:val="5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Date de naissance des patients</w:t>
      </w:r>
    </w:p>
    <w:p w:rsidR="00000000" w:rsidDel="00000000" w:rsidP="00000000" w:rsidRDefault="00000000" w:rsidRPr="00000000" w14:paraId="000001B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Elles couvriront la période à partir de 20XX sur 20 ans glissants au maximum à partir de la date de collecte dans le cadre du soin.</w:t>
      </w:r>
    </w:p>
    <w:p w:rsidR="00000000" w:rsidDel="00000000" w:rsidP="00000000" w:rsidRDefault="00000000" w:rsidRPr="00000000" w14:paraId="000001B6">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B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des centres participants permettent notamment d’obtenir des informations sur les résultats d’examens biologiques et cliniques, les facteurs de risque du patient, les indications de prescription qui ne sont pas présentes dans les données de la base principale du SNDS.</w:t>
      </w:r>
    </w:p>
    <w:p w:rsidR="00000000" w:rsidDel="00000000" w:rsidP="00000000" w:rsidRDefault="00000000" w:rsidRPr="00000000" w14:paraId="000001B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B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extraites de la base principale du SNDS relatives à la population incluse contiennent :</w:t>
      </w:r>
    </w:p>
    <w:p w:rsidR="00000000" w:rsidDel="00000000" w:rsidP="00000000" w:rsidRDefault="00000000" w:rsidRPr="00000000" w14:paraId="000001BA">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de consommations individuelles (DCIR)</w:t>
      </w:r>
    </w:p>
    <w:p w:rsidR="00000000" w:rsidDel="00000000" w:rsidP="00000000" w:rsidRDefault="00000000" w:rsidRPr="00000000" w14:paraId="000001BB">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Référentiel médicalisé (ALD, etc.)</w:t>
      </w:r>
    </w:p>
    <w:p w:rsidR="00000000" w:rsidDel="00000000" w:rsidP="00000000" w:rsidRDefault="00000000" w:rsidRPr="00000000" w14:paraId="000001BC">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hospitalières du PMSI MCO, HAD, SSR et RIM-P</w:t>
      </w:r>
    </w:p>
    <w:p w:rsidR="00000000" w:rsidDel="00000000" w:rsidP="00000000" w:rsidRDefault="00000000" w:rsidRPr="00000000" w14:paraId="000001BD">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des causes médicales de décès (CépiDc)</w:t>
      </w:r>
    </w:p>
    <w:p w:rsidR="00000000" w:rsidDel="00000000" w:rsidP="00000000" w:rsidRDefault="00000000" w:rsidRPr="00000000" w14:paraId="000001BE">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de vaccination Covid (IR_VAC_F)</w:t>
      </w:r>
    </w:p>
    <w:p w:rsidR="00000000" w:rsidDel="00000000" w:rsidP="00000000" w:rsidRDefault="00000000" w:rsidRPr="00000000" w14:paraId="000001BF">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Chaînage mère-enfant (NIR_ANO_MAM)</w:t>
      </w:r>
    </w:p>
    <w:p w:rsidR="00000000" w:rsidDel="00000000" w:rsidP="00000000" w:rsidRDefault="00000000" w:rsidRPr="00000000" w14:paraId="000001C0">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Référentiel maternité (IR_MAT_R)</w:t>
      </w:r>
    </w:p>
    <w:p w:rsidR="00000000" w:rsidDel="00000000" w:rsidP="00000000" w:rsidRDefault="00000000" w:rsidRPr="00000000" w14:paraId="000001C1">
      <w:pPr>
        <w:numPr>
          <w:ilvl w:val="0"/>
          <w:numId w:val="5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relatives au handicap (MDPH)</w:t>
      </w:r>
    </w:p>
    <w:p w:rsidR="00000000" w:rsidDel="00000000" w:rsidP="00000000" w:rsidRDefault="00000000" w:rsidRPr="00000000" w14:paraId="000001C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Ces données couvrent la période à partir de 20XX sur 20 ans glissants à partir de la date de mise à disposition des données pour l’ensemble de la population présente dans l’EDS afin d’avoir un suivi rétrospectif et prospectif au long cours  des patients dans l’EDS. </w:t>
      </w:r>
    </w:p>
    <w:p w:rsidR="00000000" w:rsidDel="00000000" w:rsidP="00000000" w:rsidRDefault="00000000" w:rsidRPr="00000000" w14:paraId="000001C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C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de la base principale du SNDS sont nécessaires pour répondre aux objectifs de &lt; nom de l'entrepôt &gt; sur l’étude du parcours de soins, notamment en apportant des données sur les soins de ville, des données concernant les hospitalisations dans d’autres établissements de santé ou encore d’autres informations d’intérêt (causes médicales de décès, vaccination Covid, etc.).</w:t>
      </w:r>
    </w:p>
    <w:p w:rsidR="00000000" w:rsidDel="00000000" w:rsidP="00000000" w:rsidRDefault="00000000" w:rsidRPr="00000000" w14:paraId="000001C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C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niveau de détail sur les variables sensibles (au sens du référentiel SNDS) dans le &lt; nom de l'entrepôt &gt; seront :</w:t>
      </w:r>
    </w:p>
    <w:p w:rsidR="00000000" w:rsidDel="00000000" w:rsidP="00000000" w:rsidRDefault="00000000" w:rsidRPr="00000000" w14:paraId="000001C7">
      <w:pPr>
        <w:numPr>
          <w:ilvl w:val="0"/>
          <w:numId w:val="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L’année de naissance et le mois de naissance</w:t>
      </w:r>
    </w:p>
    <w:p w:rsidR="00000000" w:rsidDel="00000000" w:rsidP="00000000" w:rsidRDefault="00000000" w:rsidRPr="00000000" w14:paraId="000001C8">
      <w:pPr>
        <w:numPr>
          <w:ilvl w:val="0"/>
          <w:numId w:val="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 date de décès au format jour + mois + année (identifiant potentiel)</w:t>
      </w:r>
    </w:p>
    <w:p w:rsidR="00000000" w:rsidDel="00000000" w:rsidP="00000000" w:rsidRDefault="00000000" w:rsidRPr="00000000" w14:paraId="000001C9">
      <w:pPr>
        <w:numPr>
          <w:ilvl w:val="0"/>
          <w:numId w:val="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 date de soins exacte au format jour + mois + année (identifiant potentiel)</w:t>
      </w:r>
    </w:p>
    <w:p w:rsidR="00000000" w:rsidDel="00000000" w:rsidP="00000000" w:rsidRDefault="00000000" w:rsidRPr="00000000" w14:paraId="000001CA">
      <w:pPr>
        <w:numPr>
          <w:ilvl w:val="0"/>
          <w:numId w:val="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département de résidence</w:t>
      </w:r>
    </w:p>
    <w:p w:rsidR="00000000" w:rsidDel="00000000" w:rsidP="00000000" w:rsidRDefault="00000000" w:rsidRPr="00000000" w14:paraId="000001CB">
      <w:pPr>
        <w:numPr>
          <w:ilvl w:val="0"/>
          <w:numId w:val="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département de décès</w:t>
      </w:r>
    </w:p>
    <w:p w:rsidR="00000000" w:rsidDel="00000000" w:rsidP="00000000" w:rsidRDefault="00000000" w:rsidRPr="00000000" w14:paraId="000001C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C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dates exactes de soins sont indispensables pour reconstruire de manière précise le parcours de soins des patients. La date de décès permet de réaliser des études de mortalité et des analyses de survie. Il sera également intéressant de disposer du mois de naissance (en plus de l’année) afin de calculer l’âge précis, qui peut avoir son importance, notamment pour des études incluant des enfants en bas-âge. </w:t>
      </w:r>
    </w:p>
    <w:p w:rsidR="00000000" w:rsidDel="00000000" w:rsidP="00000000" w:rsidRDefault="00000000" w:rsidRPr="00000000" w14:paraId="000001C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CF">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convention bipartite signée entre le &lt; nom du responsable de traitement &gt; et chaque établissement de santé doit notamment préciser le périmètre, la fréquence de mise à jour et la sécurisation du transfert des données. La qualité des données relève de la responsabilité des producteurs de données tels que la CNAM et les établissements de santé.</w:t>
      </w:r>
    </w:p>
    <w:p w:rsidR="00000000" w:rsidDel="00000000" w:rsidP="00000000" w:rsidRDefault="00000000" w:rsidRPr="00000000" w14:paraId="000001D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D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Concernant les données provenant des établissements de santé, il s'agit de données médicales et médico-administratives déjà collectées. Elles peuvent comporter des erreurs dues à la nature du processus de remontées d'informations qui seront toujours présentes dans la base de données issue de l'appariement. Toutefois, les erreurs présentes dans cette base sont sans impact sur les droits et libertés des personnes.</w:t>
      </w:r>
    </w:p>
    <w:p w:rsidR="00000000" w:rsidDel="00000000" w:rsidP="00000000" w:rsidRDefault="00000000" w:rsidRPr="00000000" w14:paraId="000001D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D3">
      <w:pPr>
        <w:pStyle w:val="Heading1"/>
        <w:numPr>
          <w:ilvl w:val="0"/>
          <w:numId w:val="7"/>
        </w:numPr>
        <w:spacing w:after="120" w:lineRule="auto"/>
        <w:ind w:right="-40.8661417322827"/>
        <w:jc w:val="left"/>
        <w:rPr>
          <w:rFonts w:ascii="Tahoma" w:cs="Tahoma" w:eastAsia="Tahoma" w:hAnsi="Tahoma"/>
          <w:b w:val="1"/>
          <w:bCs w:val="1"/>
          <w:color w:val="036287"/>
          <w:sz w:val="36"/>
          <w:szCs w:val="36"/>
        </w:rPr>
      </w:pPr>
      <w:bookmarkStart w:colFirst="0" w:colLast="0" w:name="_jgcsh0qnf17c" w:id="22"/>
      <w:bookmarkEnd w:id="22"/>
      <w:r w:rsidDel="00000000" w:rsidR="00000000" w:rsidRPr="00000000">
        <w:rPr>
          <w:sz w:val="36"/>
          <w:szCs w:val="36"/>
          <w:rtl w:val="0"/>
        </w:rPr>
        <w:t xml:space="preserve">Cycle de vie de la donnée</w:t>
      </w:r>
    </w:p>
    <w:p w:rsidR="00000000" w:rsidDel="00000000" w:rsidP="00000000" w:rsidRDefault="00000000" w:rsidRPr="00000000" w14:paraId="000001D4">
      <w:pPr>
        <w:pStyle w:val="Heading2"/>
        <w:spacing w:after="120" w:before="360" w:line="240" w:lineRule="auto"/>
        <w:ind w:left="1440" w:right="-40.8661417322827" w:firstLine="720"/>
        <w:jc w:val="both"/>
        <w:rPr>
          <w:b w:val="0"/>
          <w:bCs w:val="0"/>
          <w:sz w:val="28"/>
          <w:szCs w:val="28"/>
        </w:rPr>
      </w:pPr>
      <w:bookmarkStart w:colFirst="0" w:colLast="0" w:name="_xmz4o0b7n510" w:id="23"/>
      <w:bookmarkEnd w:id="23"/>
      <w:r w:rsidDel="00000000" w:rsidR="00000000" w:rsidRPr="00000000">
        <w:rPr>
          <w:rtl w:val="0"/>
        </w:rPr>
      </w:r>
    </w:p>
    <w:p w:rsidR="00000000" w:rsidDel="00000000" w:rsidP="00000000" w:rsidRDefault="00000000" w:rsidRPr="00000000" w14:paraId="000001D5">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zjcrhg4mnqf" w:id="24"/>
      <w:bookmarkEnd w:id="24"/>
      <w:r w:rsidDel="00000000" w:rsidR="00000000" w:rsidRPr="00000000">
        <w:rPr>
          <w:b w:val="0"/>
          <w:bCs w:val="0"/>
          <w:sz w:val="28"/>
          <w:szCs w:val="28"/>
          <w:rtl w:val="0"/>
        </w:rPr>
        <w:t xml:space="preserve">Schéma de circulation de la donnée</w:t>
      </w:r>
    </w:p>
    <w:p w:rsidR="00000000" w:rsidDel="00000000" w:rsidP="00000000" w:rsidRDefault="00000000" w:rsidRPr="00000000" w14:paraId="000001D6">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D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différentes étapes portant sur les données dans le cadre de la constitution de &lt; nom de l'entrepôt &gt; sont les suivantes :</w:t>
      </w:r>
    </w:p>
    <w:p w:rsidR="00000000" w:rsidDel="00000000" w:rsidP="00000000" w:rsidRDefault="00000000" w:rsidRPr="00000000" w14:paraId="000001D8">
      <w:pPr>
        <w:numPr>
          <w:ilvl w:val="0"/>
          <w:numId w:val="3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Ciblage </w:t>
      </w:r>
      <w:r w:rsidDel="00000000" w:rsidR="00000000" w:rsidRPr="00000000">
        <w:rPr>
          <w:rFonts w:ascii="Tahoma" w:cs="Tahoma" w:eastAsia="Tahoma" w:hAnsi="Tahoma"/>
          <w:rtl w:val="0"/>
        </w:rPr>
        <w:t xml:space="preserve">- Au niveau de chaque centre, la population incluse est ciblée dans ses données </w:t>
      </w:r>
    </w:p>
    <w:p w:rsidR="00000000" w:rsidDel="00000000" w:rsidP="00000000" w:rsidRDefault="00000000" w:rsidRPr="00000000" w14:paraId="000001D9">
      <w:pPr>
        <w:numPr>
          <w:ilvl w:val="0"/>
          <w:numId w:val="3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Extraction </w:t>
      </w:r>
      <w:r w:rsidDel="00000000" w:rsidR="00000000" w:rsidRPr="00000000">
        <w:rPr>
          <w:rFonts w:ascii="Tahoma" w:cs="Tahoma" w:eastAsia="Tahoma" w:hAnsi="Tahoma"/>
          <w:rtl w:val="0"/>
        </w:rPr>
        <w:t xml:space="preserve">- Une fois la population ciblée, chaque fournisseur de données extrait les données nécessaires (pour l’appariement et la constitution de &lt; nom de l'entrepôt &gt;)</w:t>
      </w:r>
    </w:p>
    <w:p w:rsidR="00000000" w:rsidDel="00000000" w:rsidP="00000000" w:rsidRDefault="00000000" w:rsidRPr="00000000" w14:paraId="000001DA">
      <w:pPr>
        <w:numPr>
          <w:ilvl w:val="0"/>
          <w:numId w:val="3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Préparation </w:t>
      </w:r>
      <w:r w:rsidDel="00000000" w:rsidR="00000000" w:rsidRPr="00000000">
        <w:rPr>
          <w:rFonts w:ascii="Tahoma" w:cs="Tahoma" w:eastAsia="Tahoma" w:hAnsi="Tahoma"/>
          <w:rtl w:val="0"/>
        </w:rPr>
        <w:t xml:space="preserve">- Au niveau de chaque centre, les données extraites sont mises en qualité. </w:t>
      </w:r>
    </w:p>
    <w:p w:rsidR="00000000" w:rsidDel="00000000" w:rsidP="00000000" w:rsidRDefault="00000000" w:rsidRPr="00000000" w14:paraId="000001DB">
      <w:pPr>
        <w:numPr>
          <w:ilvl w:val="0"/>
          <w:numId w:val="3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Transfert &amp; appariement</w:t>
      </w:r>
      <w:r w:rsidDel="00000000" w:rsidR="00000000" w:rsidRPr="00000000">
        <w:rPr>
          <w:rFonts w:ascii="Tahoma" w:cs="Tahoma" w:eastAsia="Tahoma" w:hAnsi="Tahoma"/>
          <w:rtl w:val="0"/>
        </w:rPr>
        <w:t xml:space="preserve"> - L’ensemble des établissements partenaires transfèrent les NIR à la CNAM pour l’appariement direct et les données métier au &lt; nom du responsable de traitement &gt;..</w:t>
      </w:r>
    </w:p>
    <w:p w:rsidR="00000000" w:rsidDel="00000000" w:rsidP="00000000" w:rsidRDefault="00000000" w:rsidRPr="00000000" w14:paraId="000001DC">
      <w:pPr>
        <w:numPr>
          <w:ilvl w:val="0"/>
          <w:numId w:val="3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b w:val="1"/>
          <w:bCs w:val="1"/>
          <w:rtl w:val="0"/>
        </w:rPr>
        <w:t xml:space="preserve">OMOP &amp; Préparation de la base finale</w:t>
      </w:r>
      <w:r w:rsidDel="00000000" w:rsidR="00000000" w:rsidRPr="00000000">
        <w:rPr>
          <w:rFonts w:ascii="Tahoma" w:cs="Tahoma" w:eastAsia="Tahoma" w:hAnsi="Tahoma"/>
          <w:rtl w:val="0"/>
        </w:rPr>
        <w:t xml:space="preserve"> - Les données extraites de la base principale du SNDS et des données métiers des centres sont transformées au modèle OMOP par le &lt; nom du responsable de traitement &gt;.</w:t>
      </w:r>
    </w:p>
    <w:p w:rsidR="00000000" w:rsidDel="00000000" w:rsidP="00000000" w:rsidRDefault="00000000" w:rsidRPr="00000000" w14:paraId="000001D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DE">
      <w:pPr>
        <w:spacing w:line="240" w:lineRule="auto"/>
        <w:ind w:right="-40.8661417322827"/>
        <w:jc w:val="both"/>
        <w:rPr>
          <w:rFonts w:ascii="Tahoma" w:cs="Tahoma" w:eastAsia="Tahoma" w:hAnsi="Tahoma"/>
        </w:rPr>
        <w:sectPr>
          <w:headerReference r:id="rId16" w:type="default"/>
          <w:headerReference r:id="rId17" w:type="first"/>
          <w:footerReference r:id="rId18" w:type="default"/>
          <w:footerReference r:id="rId19" w:type="first"/>
          <w:pgSz w:h="16834" w:w="11909" w:orient="portrait"/>
          <w:pgMar w:bottom="1440" w:top="1440" w:left="1440" w:right="1440" w:header="720" w:footer="120"/>
          <w:pgNumType w:start="1"/>
        </w:sectPr>
      </w:pPr>
      <w:r w:rsidDel="00000000" w:rsidR="00000000" w:rsidRPr="00000000">
        <w:rPr>
          <w:rFonts w:ascii="Tahoma" w:cs="Tahoma" w:eastAsia="Tahoma" w:hAnsi="Tahoma"/>
          <w:rtl w:val="0"/>
        </w:rPr>
        <w:t xml:space="preserve">Les étapes du circuit sont détaillées dans la section suivante</w:t>
      </w:r>
    </w:p>
    <w:p w:rsidR="00000000" w:rsidDel="00000000" w:rsidP="00000000" w:rsidRDefault="00000000" w:rsidRPr="00000000" w14:paraId="000001DF">
      <w:pPr>
        <w:spacing w:line="240" w:lineRule="auto"/>
        <w:ind w:right="-40.8661417322827"/>
        <w:jc w:val="both"/>
        <w:rPr>
          <w:rFonts w:ascii="Tahoma" w:cs="Tahoma" w:eastAsia="Tahoma" w:hAnsi="Tahoma"/>
        </w:rPr>
        <w:sectPr>
          <w:type w:val="nextPage"/>
          <w:pgSz w:h="16834" w:w="11909" w:orient="portrait"/>
          <w:pgMar w:bottom="1440.0000000000002" w:top="1440.0000000000002" w:left="1440.0000000000002" w:right="1440.0000000000002" w:header="720" w:footer="720"/>
        </w:sectPr>
      </w:pPr>
      <w:r w:rsidDel="00000000" w:rsidR="00000000" w:rsidRPr="00000000">
        <w:rPr>
          <w:rtl w:val="0"/>
        </w:rPr>
      </w:r>
    </w:p>
    <w:p w:rsidR="00000000" w:rsidDel="00000000" w:rsidP="00000000" w:rsidRDefault="00000000" w:rsidRPr="00000000" w14:paraId="000001E0">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fstdnjwxgjkm" w:id="25"/>
      <w:bookmarkEnd w:id="25"/>
      <w:r w:rsidDel="00000000" w:rsidR="00000000" w:rsidRPr="00000000">
        <w:rPr>
          <w:b w:val="0"/>
          <w:bCs w:val="0"/>
          <w:sz w:val="28"/>
          <w:szCs w:val="28"/>
          <w:rtl w:val="0"/>
        </w:rPr>
        <w:t xml:space="preserve">Opérations sur les données</w:t>
      </w:r>
    </w:p>
    <w:p w:rsidR="00000000" w:rsidDel="00000000" w:rsidP="00000000" w:rsidRDefault="00000000" w:rsidRPr="00000000" w14:paraId="000001E1">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1E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processus décrit ci-dessous sera mis en œuvre de manière indépendante par et pour chaque centre afin de permettre un avancement asynchrone et limiter l’impact sur les autres centres en cas de retard d’un centre sur une des activités.</w:t>
      </w:r>
    </w:p>
    <w:p w:rsidR="00000000" w:rsidDel="00000000" w:rsidP="00000000" w:rsidRDefault="00000000" w:rsidRPr="00000000" w14:paraId="000001E3">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1E4">
      <w:pPr>
        <w:pStyle w:val="Heading3"/>
        <w:numPr>
          <w:ilvl w:val="2"/>
          <w:numId w:val="7"/>
        </w:numPr>
        <w:spacing w:after="80" w:before="320" w:line="240" w:lineRule="auto"/>
        <w:ind w:right="-40.8661417322827"/>
        <w:rPr>
          <w:rFonts w:ascii="Tahoma" w:cs="Tahoma" w:eastAsia="Tahoma" w:hAnsi="Tahoma"/>
          <w:color w:val="434343"/>
          <w:sz w:val="28"/>
          <w:szCs w:val="28"/>
        </w:rPr>
      </w:pPr>
      <w:bookmarkStart w:colFirst="0" w:colLast="0" w:name="_8zz2rh3wugi3" w:id="26"/>
      <w:bookmarkEnd w:id="26"/>
      <w:r w:rsidDel="00000000" w:rsidR="00000000" w:rsidRPr="00000000">
        <w:rPr>
          <w:color w:val="434343"/>
          <w:sz w:val="28"/>
          <w:szCs w:val="28"/>
          <w:u w:val="single"/>
          <w:rtl w:val="0"/>
        </w:rPr>
        <w:t xml:space="preserve">Extraction des données</w:t>
      </w:r>
    </w:p>
    <w:p w:rsidR="00000000" w:rsidDel="00000000" w:rsidP="00000000" w:rsidRDefault="00000000" w:rsidRPr="00000000" w14:paraId="000001E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E6">
      <w:pPr>
        <w:numPr>
          <w:ilvl w:val="0"/>
          <w:numId w:val="20"/>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(noté X pour l’exemple) dispose initialement de données hospitalières, avec un ID patient ID_source_X, des données utilisées pour l’accrochage Données_acc_X et des données métier pseudonymisées notées Données_EDS_X (CF chapitre 3.3). Ce jeu de données se présente donc sous la forme [ID_source_X ; Données_acc_X ; Données_EDS_X]. L’appariement etant direct, les données d’accrochage Données_acc_X sont constituées (si disponibles) du NIR du bénéficiaire, NIR de l’ouvreur de droit, de la date de naissance du bénéficiaire et du sexe du bénéficiaire</w:t>
      </w:r>
    </w:p>
    <w:p w:rsidR="00000000" w:rsidDel="00000000" w:rsidP="00000000" w:rsidRDefault="00000000" w:rsidRPr="00000000" w14:paraId="000001E7">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E8">
      <w:pPr>
        <w:numPr>
          <w:ilvl w:val="0"/>
          <w:numId w:val="9"/>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sélectionne des patients avec un séjour hospitalier en MCO dans l’établissement sur le périmètre de sélection définie (pathologies spécifiques, etc.). </w:t>
      </w:r>
    </w:p>
    <w:p w:rsidR="00000000" w:rsidDel="00000000" w:rsidP="00000000" w:rsidRDefault="00000000" w:rsidRPr="00000000" w14:paraId="000001E9">
      <w:pPr>
        <w:spacing w:line="240" w:lineRule="auto"/>
        <w:ind w:left="144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1EA">
      <w:pPr>
        <w:numPr>
          <w:ilvl w:val="0"/>
          <w:numId w:val="20"/>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réalise une extraction de ses données hospitalières pour les patients à inclure dans le &lt; nom de l'entrepôt &gt;, et mettant en jeu un nouvel ID patient ID_acc_X qui sera utilisé pour l’accrochage. Cette extraction produit trois tables distinctes :</w:t>
      </w:r>
    </w:p>
    <w:p w:rsidR="00000000" w:rsidDel="00000000" w:rsidP="00000000" w:rsidRDefault="00000000" w:rsidRPr="00000000" w14:paraId="000001EB">
      <w:pPr>
        <w:numPr>
          <w:ilvl w:val="1"/>
          <w:numId w:val="2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table de données métier [ID_acc_X ; Données_EDS_X]</w:t>
      </w:r>
    </w:p>
    <w:p w:rsidR="00000000" w:rsidDel="00000000" w:rsidP="00000000" w:rsidRDefault="00000000" w:rsidRPr="00000000" w14:paraId="000001EC">
      <w:pPr>
        <w:numPr>
          <w:ilvl w:val="1"/>
          <w:numId w:val="2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table d’accrochage [ID_acc_X ; Données_acc_X] permettant d’extraire les données de la base principale pour les patients inclus dans le &lt; nom de l'entrepôt &gt;</w:t>
      </w:r>
    </w:p>
    <w:p w:rsidR="00000000" w:rsidDel="00000000" w:rsidP="00000000" w:rsidRDefault="00000000" w:rsidRPr="00000000" w14:paraId="000001ED">
      <w:pPr>
        <w:numPr>
          <w:ilvl w:val="1"/>
          <w:numId w:val="2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table de correspondance [ID_source_X ; ID_acc_X]</w:t>
      </w:r>
    </w:p>
    <w:p w:rsidR="00000000" w:rsidDel="00000000" w:rsidP="00000000" w:rsidRDefault="00000000" w:rsidRPr="00000000" w14:paraId="000001E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E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0">
      <w:pPr>
        <w:pStyle w:val="Heading3"/>
        <w:numPr>
          <w:ilvl w:val="2"/>
          <w:numId w:val="7"/>
        </w:numPr>
        <w:spacing w:after="80" w:before="320" w:line="240" w:lineRule="auto"/>
        <w:ind w:right="-40.8661417322827"/>
        <w:jc w:val="both"/>
        <w:rPr>
          <w:rFonts w:ascii="Tahoma" w:cs="Tahoma" w:eastAsia="Tahoma" w:hAnsi="Tahoma"/>
          <w:color w:val="434343"/>
          <w:sz w:val="28"/>
          <w:szCs w:val="28"/>
        </w:rPr>
      </w:pPr>
      <w:bookmarkStart w:colFirst="0" w:colLast="0" w:name="_g6exvb3s3dev" w:id="27"/>
      <w:bookmarkEnd w:id="27"/>
      <w:r w:rsidDel="00000000" w:rsidR="00000000" w:rsidRPr="00000000">
        <w:rPr>
          <w:color w:val="434343"/>
          <w:sz w:val="28"/>
          <w:szCs w:val="28"/>
          <w:u w:val="single"/>
          <w:rtl w:val="0"/>
        </w:rPr>
        <w:t xml:space="preserve">Préparation et mise en qualité</w:t>
      </w:r>
      <w:r w:rsidDel="00000000" w:rsidR="00000000" w:rsidRPr="00000000">
        <w:rPr>
          <w:rtl w:val="0"/>
        </w:rPr>
      </w:r>
    </w:p>
    <w:p w:rsidR="00000000" w:rsidDel="00000000" w:rsidP="00000000" w:rsidRDefault="00000000" w:rsidRPr="00000000" w14:paraId="000001F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Chaque centre opère une étape de préparation et de mise en qualité des données métier et de la table d’accrochage. Pour les données métier, cela consistera principalement dans un nettoyage (suppression des valeurs aberrantes, etc.) et restructuration des données (sélection et renommage de tables et variables, etc.). Pour la table d’accrochage, il pourra être nécessaire de la mettre sous une certaine norme (SAFE) en vue du transfert à la CNAM. </w:t>
      </w:r>
    </w:p>
    <w:p w:rsidR="00000000" w:rsidDel="00000000" w:rsidP="00000000" w:rsidRDefault="00000000" w:rsidRPr="00000000" w14:paraId="000001F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5">
      <w:pPr>
        <w:pStyle w:val="Heading3"/>
        <w:numPr>
          <w:ilvl w:val="2"/>
          <w:numId w:val="7"/>
        </w:numPr>
        <w:spacing w:after="80" w:before="320" w:line="240" w:lineRule="auto"/>
        <w:ind w:right="-40.8661417322827"/>
        <w:jc w:val="both"/>
        <w:rPr>
          <w:rFonts w:ascii="Tahoma" w:cs="Tahoma" w:eastAsia="Tahoma" w:hAnsi="Tahoma"/>
          <w:color w:val="434343"/>
          <w:sz w:val="28"/>
          <w:szCs w:val="28"/>
        </w:rPr>
      </w:pPr>
      <w:bookmarkStart w:colFirst="0" w:colLast="0" w:name="_vnhhzin1iytd" w:id="28"/>
      <w:bookmarkEnd w:id="28"/>
      <w:r w:rsidDel="00000000" w:rsidR="00000000" w:rsidRPr="00000000">
        <w:rPr>
          <w:color w:val="434343"/>
          <w:sz w:val="28"/>
          <w:szCs w:val="28"/>
          <w:u w:val="single"/>
          <w:rtl w:val="0"/>
        </w:rPr>
        <w:t xml:space="preserve">Transfert des données des établissements vers le </w:t>
      </w:r>
      <w:r w:rsidDel="00000000" w:rsidR="00000000" w:rsidRPr="00000000">
        <w:rPr>
          <w:color w:val="434343"/>
          <w:sz w:val="28"/>
          <w:szCs w:val="28"/>
          <w:u w:val="single"/>
          <w:rtl w:val="0"/>
        </w:rPr>
        <w:t xml:space="preserve">&lt; nom du responsable de traitement &gt;</w:t>
      </w:r>
      <w:r w:rsidDel="00000000" w:rsidR="00000000" w:rsidRPr="00000000">
        <w:rPr>
          <w:rtl w:val="0"/>
        </w:rPr>
      </w:r>
    </w:p>
    <w:p w:rsidR="00000000" w:rsidDel="00000000" w:rsidP="00000000" w:rsidRDefault="00000000" w:rsidRPr="00000000" w14:paraId="000001F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1F7">
      <w:pPr>
        <w:numPr>
          <w:ilvl w:val="0"/>
          <w:numId w:val="2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transfère la table de données métier [ID_acc_X ; Données_EDS_X] au &lt; nom du responsable de traitement &gt;</w:t>
      </w:r>
    </w:p>
    <w:p w:rsidR="00000000" w:rsidDel="00000000" w:rsidP="00000000" w:rsidRDefault="00000000" w:rsidRPr="00000000" w14:paraId="000001F8">
      <w:pPr>
        <w:spacing w:line="240" w:lineRule="auto"/>
        <w:ind w:left="720"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1F9">
      <w:pPr>
        <w:numPr>
          <w:ilvl w:val="0"/>
          <w:numId w:val="2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transfère la table d’accrochage [ID_acc_X ; Données_acc_X] à la CNAM pour réaliser l’accrochage au SNDS suivant le circuit “responsable de traitement” (RT) détaillé dans le guide pratique de la CNIL sur les modalités de circulation du NIR pour la recherche en santé aux fins d’appariement de données avec le SNDS</w:t>
      </w:r>
      <w:r w:rsidDel="00000000" w:rsidR="00000000" w:rsidRPr="00000000">
        <w:rPr>
          <w:rFonts w:ascii="Tahoma" w:cs="Tahoma" w:eastAsia="Tahoma" w:hAnsi="Tahoma"/>
          <w:vertAlign w:val="superscript"/>
        </w:rPr>
        <w:footnoteReference w:customMarkFollows="0" w:id="1"/>
      </w:r>
      <w:r w:rsidDel="00000000" w:rsidR="00000000" w:rsidRPr="00000000">
        <w:rPr>
          <w:rFonts w:ascii="Tahoma" w:cs="Tahoma" w:eastAsia="Tahoma" w:hAnsi="Tahoma"/>
          <w:rtl w:val="0"/>
        </w:rPr>
        <w:t xml:space="preserve">. </w:t>
      </w:r>
    </w:p>
    <w:p w:rsidR="00000000" w:rsidDel="00000000" w:rsidP="00000000" w:rsidRDefault="00000000" w:rsidRPr="00000000" w14:paraId="000001F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B">
      <w:pPr>
        <w:pStyle w:val="Heading3"/>
        <w:numPr>
          <w:ilvl w:val="2"/>
          <w:numId w:val="7"/>
        </w:numPr>
        <w:spacing w:after="80" w:before="320" w:line="240" w:lineRule="auto"/>
        <w:ind w:right="-40.8661417322827"/>
        <w:jc w:val="both"/>
        <w:rPr>
          <w:rFonts w:ascii="Tahoma" w:cs="Tahoma" w:eastAsia="Tahoma" w:hAnsi="Tahoma"/>
          <w:color w:val="434343"/>
          <w:sz w:val="28"/>
          <w:szCs w:val="28"/>
        </w:rPr>
      </w:pPr>
      <w:bookmarkStart w:colFirst="0" w:colLast="0" w:name="_k7bci20dvxj" w:id="29"/>
      <w:bookmarkEnd w:id="29"/>
      <w:r w:rsidDel="00000000" w:rsidR="00000000" w:rsidRPr="00000000">
        <w:rPr>
          <w:color w:val="434343"/>
          <w:sz w:val="28"/>
          <w:szCs w:val="28"/>
          <w:u w:val="single"/>
          <w:rtl w:val="0"/>
        </w:rPr>
        <w:t xml:space="preserve">Extraction SNDS et transfert de la CNAM vers le </w:t>
      </w:r>
      <w:r w:rsidDel="00000000" w:rsidR="00000000" w:rsidRPr="00000000">
        <w:rPr>
          <w:color w:val="434343"/>
          <w:sz w:val="28"/>
          <w:szCs w:val="28"/>
          <w:u w:val="single"/>
          <w:rtl w:val="0"/>
        </w:rPr>
        <w:t xml:space="preserve">&lt; nom du responsable de traitement &gt;</w:t>
      </w:r>
      <w:r w:rsidDel="00000000" w:rsidR="00000000" w:rsidRPr="00000000">
        <w:rPr>
          <w:rtl w:val="0"/>
        </w:rPr>
      </w:r>
    </w:p>
    <w:p w:rsidR="00000000" w:rsidDel="00000000" w:rsidP="00000000" w:rsidRDefault="00000000" w:rsidRPr="00000000" w14:paraId="000001F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1FD">
      <w:pPr>
        <w:numPr>
          <w:ilvl w:val="0"/>
          <w:numId w:val="1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 CNAM procède à la pseudonymisation du NIR pour obtenir le “NIR haché” (ID_SNDS) permettant l’identification. Par souci de simplicité, le résultat de cette transformation est noté Données_acc_X par la suite.</w:t>
        <w:br w:type="textWrapping"/>
      </w:r>
    </w:p>
    <w:p w:rsidR="00000000" w:rsidDel="00000000" w:rsidP="00000000" w:rsidRDefault="00000000" w:rsidRPr="00000000" w14:paraId="000001FE">
      <w:pPr>
        <w:numPr>
          <w:ilvl w:val="0"/>
          <w:numId w:val="1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chaque centre, la CNAM procède à l’identification des patients dans le SNDS grâce aux Données_acc_X</w:t>
        <w:br w:type="textWrapping"/>
      </w:r>
    </w:p>
    <w:p w:rsidR="00000000" w:rsidDel="00000000" w:rsidP="00000000" w:rsidRDefault="00000000" w:rsidRPr="00000000" w14:paraId="000001FF">
      <w:pPr>
        <w:numPr>
          <w:ilvl w:val="0"/>
          <w:numId w:val="1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chaque centre, la CNAM extrait les données SNDS nécessaires à la constitution de &lt; nom de l'entrepôt &gt;, notées Données_SNDS_X. L’extraction contiendra également des données relatives à une population témoin tirée au sort suivant un ratio 1:3.</w:t>
        <w:br w:type="textWrapping"/>
      </w:r>
    </w:p>
    <w:p w:rsidR="00000000" w:rsidDel="00000000" w:rsidP="00000000" w:rsidRDefault="00000000" w:rsidRPr="00000000" w14:paraId="00000200">
      <w:pPr>
        <w:numPr>
          <w:ilvl w:val="0"/>
          <w:numId w:val="1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 CNAM produit également un nouvel ID patient, noté ID_unique. Généré par transformation (irréversible, type hachage, cf ci-dessous) du NIR bénéficiaire, cet ID est nécessaire au dédoublonnage des patients dans la base finale (pour des patients qui seraient passés et auraient été sélectionnés dans plusieurs centres).</w:t>
        <w:br w:type="textWrapping"/>
      </w:r>
    </w:p>
    <w:p w:rsidR="00000000" w:rsidDel="00000000" w:rsidP="00000000" w:rsidRDefault="00000000" w:rsidRPr="00000000" w14:paraId="00000201">
      <w:pPr>
        <w:numPr>
          <w:ilvl w:val="0"/>
          <w:numId w:val="1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chaque centre, la CNAM transfère l’extraction SNDS [ID_acc_X ; Données_SNDS_X ; ID_unique] au &lt; nom du responsable de traitement &gt;.</w:t>
      </w:r>
    </w:p>
    <w:p w:rsidR="00000000" w:rsidDel="00000000" w:rsidP="00000000" w:rsidRDefault="00000000" w:rsidRPr="00000000" w14:paraId="0000020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03">
      <w:pPr>
        <w:pStyle w:val="Heading3"/>
        <w:numPr>
          <w:ilvl w:val="2"/>
          <w:numId w:val="7"/>
        </w:numPr>
        <w:spacing w:after="80" w:before="320" w:line="240" w:lineRule="auto"/>
        <w:ind w:right="-40.8661417322827"/>
        <w:jc w:val="both"/>
        <w:rPr>
          <w:rFonts w:ascii="Tahoma" w:cs="Tahoma" w:eastAsia="Tahoma" w:hAnsi="Tahoma"/>
          <w:color w:val="434343"/>
          <w:sz w:val="28"/>
          <w:szCs w:val="28"/>
        </w:rPr>
      </w:pPr>
      <w:bookmarkStart w:colFirst="0" w:colLast="0" w:name="_lsslqicdvjqs" w:id="30"/>
      <w:bookmarkEnd w:id="30"/>
      <w:r w:rsidDel="00000000" w:rsidR="00000000" w:rsidRPr="00000000">
        <w:rPr>
          <w:color w:val="434343"/>
          <w:sz w:val="28"/>
          <w:szCs w:val="28"/>
          <w:u w:val="single"/>
          <w:rtl w:val="0"/>
        </w:rPr>
        <w:t xml:space="preserve">Préparation de la base finale</w:t>
      </w:r>
      <w:r w:rsidDel="00000000" w:rsidR="00000000" w:rsidRPr="00000000">
        <w:rPr>
          <w:rtl w:val="0"/>
        </w:rPr>
      </w:r>
    </w:p>
    <w:p w:rsidR="00000000" w:rsidDel="00000000" w:rsidP="00000000" w:rsidRDefault="00000000" w:rsidRPr="00000000" w14:paraId="0000020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05">
      <w:pPr>
        <w:numPr>
          <w:ilvl w:val="0"/>
          <w:numId w:val="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procède à la transformation au modèle OMOP de chaque extraction SNDS.</w:t>
        <w:br w:type="textWrapping"/>
      </w:r>
    </w:p>
    <w:p w:rsidR="00000000" w:rsidDel="00000000" w:rsidP="00000000" w:rsidRDefault="00000000" w:rsidRPr="00000000" w14:paraId="00000206">
      <w:pPr>
        <w:numPr>
          <w:ilvl w:val="0"/>
          <w:numId w:val="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procède à la transformation au modèle OMOP des tables métier de chaque centre.</w:t>
        <w:br w:type="textWrapping"/>
      </w:r>
    </w:p>
    <w:p w:rsidR="00000000" w:rsidDel="00000000" w:rsidP="00000000" w:rsidRDefault="00000000" w:rsidRPr="00000000" w14:paraId="00000207">
      <w:pPr>
        <w:numPr>
          <w:ilvl w:val="0"/>
          <w:numId w:val="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Grâce à l’ensemble des extractions SNDS reçues, le &lt; nom du responsable de traitement &gt; produit une table de dédoublonnage [ID_acc_X ; ID_unique]. Cette étape est essentielle pour éviter la situation où une même personne physique, prise en charge dans deux centres différents, soit associée à deux identifiants différents dans la base finale (puisque chaque centre a produit un ID_acc_X distinct pour cette même personne).</w:t>
        <w:br w:type="textWrapping"/>
      </w:r>
    </w:p>
    <w:p w:rsidR="00000000" w:rsidDel="00000000" w:rsidP="00000000" w:rsidRDefault="00000000" w:rsidRPr="00000000" w14:paraId="00000208">
      <w:pPr>
        <w:numPr>
          <w:ilvl w:val="0"/>
          <w:numId w:val="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procède finalement à la constitution de la base finale, mettant en jeu un nouvel ID, noté ID_EDS, et généré à partir de l’ID_unique. Cette étape aboutit à la production de la base finale, constituant le &lt; nom de l'entrepôt &gt; [ID_EDS ; Données_EDS ; Données_SNDS]</w:t>
      </w:r>
    </w:p>
    <w:p w:rsidR="00000000" w:rsidDel="00000000" w:rsidP="00000000" w:rsidRDefault="00000000" w:rsidRPr="00000000" w14:paraId="00000209">
      <w:pPr>
        <w:pStyle w:val="Heading2"/>
        <w:spacing w:after="120" w:before="360" w:line="240" w:lineRule="auto"/>
        <w:ind w:right="-40.8661417322827"/>
        <w:rPr>
          <w:b w:val="0"/>
          <w:bCs w:val="0"/>
          <w:sz w:val="28"/>
          <w:szCs w:val="28"/>
        </w:rPr>
      </w:pPr>
      <w:bookmarkStart w:colFirst="0" w:colLast="0" w:name="_pd4z0ljec2ry" w:id="31"/>
      <w:bookmarkEnd w:id="31"/>
      <w:r w:rsidDel="00000000" w:rsidR="00000000" w:rsidRPr="00000000">
        <w:rPr>
          <w:rtl w:val="0"/>
        </w:rPr>
      </w:r>
    </w:p>
    <w:p w:rsidR="00000000" w:rsidDel="00000000" w:rsidP="00000000" w:rsidRDefault="00000000" w:rsidRPr="00000000" w14:paraId="0000020A">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h921v3d8jc9z" w:id="32"/>
      <w:bookmarkEnd w:id="32"/>
      <w:r w:rsidDel="00000000" w:rsidR="00000000" w:rsidRPr="00000000">
        <w:rPr>
          <w:b w:val="0"/>
          <w:bCs w:val="0"/>
          <w:sz w:val="28"/>
          <w:szCs w:val="28"/>
          <w:rtl w:val="0"/>
        </w:rPr>
        <w:t xml:space="preserve">Modalités techniques</w:t>
      </w:r>
    </w:p>
    <w:p w:rsidR="00000000" w:rsidDel="00000000" w:rsidP="00000000" w:rsidRDefault="00000000" w:rsidRPr="00000000" w14:paraId="0000020B">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20C">
      <w:pPr>
        <w:pStyle w:val="Heading3"/>
        <w:numPr>
          <w:ilvl w:val="2"/>
          <w:numId w:val="7"/>
        </w:numPr>
        <w:spacing w:after="80" w:before="320" w:line="240" w:lineRule="auto"/>
        <w:ind w:right="-40.8661417322827"/>
        <w:rPr>
          <w:rFonts w:ascii="Tahoma" w:cs="Tahoma" w:eastAsia="Tahoma" w:hAnsi="Tahoma"/>
          <w:color w:val="434343"/>
          <w:sz w:val="28"/>
          <w:szCs w:val="28"/>
        </w:rPr>
      </w:pPr>
      <w:bookmarkStart w:colFirst="0" w:colLast="0" w:name="_izh9cpr2xug5" w:id="33"/>
      <w:bookmarkEnd w:id="33"/>
      <w:r w:rsidDel="00000000" w:rsidR="00000000" w:rsidRPr="00000000">
        <w:rPr>
          <w:color w:val="434343"/>
          <w:sz w:val="28"/>
          <w:szCs w:val="28"/>
          <w:u w:val="single"/>
          <w:rtl w:val="0"/>
        </w:rPr>
        <w:t xml:space="preserve">Transfert des données</w:t>
      </w:r>
    </w:p>
    <w:p w:rsidR="00000000" w:rsidDel="00000000" w:rsidP="00000000" w:rsidRDefault="00000000" w:rsidRPr="00000000" w14:paraId="0000020D">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20E">
      <w:pPr>
        <w:numPr>
          <w:ilvl w:val="0"/>
          <w:numId w:val="3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Des centres vers la CNAM pour l’appariement direct, la CNAM crée un compte à destination du centre sur la plateforme “SAFE https” (</w:t>
      </w:r>
      <w:hyperlink r:id="rId20">
        <w:r w:rsidDel="00000000" w:rsidR="00000000" w:rsidRPr="00000000">
          <w:rPr>
            <w:rFonts w:ascii="Tahoma" w:cs="Tahoma" w:eastAsia="Tahoma" w:hAnsi="Tahoma"/>
            <w:color w:val="1155cc"/>
            <w:u w:val="single"/>
            <w:rtl w:val="0"/>
          </w:rPr>
          <w:t xml:space="preserve">https://safe.ameli.fr/</w:t>
        </w:r>
      </w:hyperlink>
      <w:r w:rsidDel="00000000" w:rsidR="00000000" w:rsidRPr="00000000">
        <w:rPr>
          <w:rFonts w:ascii="Tahoma" w:cs="Tahoma" w:eastAsia="Tahoma" w:hAnsi="Tahoma"/>
          <w:rtl w:val="0"/>
        </w:rPr>
        <w:t xml:space="preserve">)*. Le centre se connecte à cette plateforme grâce à son compte et y dépose le fichier normé correspondant à la table d’accrochage [ID_acc_X ; Données_acc_X] contenant notamment la liste des composantes à pseudonymiser. Ces éléments sont ensuite réceptionnés par la CNAM. </w:t>
      </w:r>
    </w:p>
    <w:p w:rsidR="00000000" w:rsidDel="00000000" w:rsidP="00000000" w:rsidRDefault="00000000" w:rsidRPr="00000000" w14:paraId="0000020F">
      <w:pPr>
        <w:spacing w:line="240" w:lineRule="auto"/>
        <w:ind w:right="-40.8661417322827"/>
        <w:jc w:val="both"/>
        <w:rPr>
          <w:rFonts w:ascii="Tahoma" w:cs="Tahoma" w:eastAsia="Tahoma" w:hAnsi="Tahoma"/>
          <w:i w:val="1"/>
          <w:iCs w:val="1"/>
        </w:rPr>
      </w:pPr>
      <w:r w:rsidDel="00000000" w:rsidR="00000000" w:rsidRPr="00000000">
        <w:rPr>
          <w:rtl w:val="0"/>
        </w:rPr>
      </w:r>
    </w:p>
    <w:p w:rsidR="00000000" w:rsidDel="00000000" w:rsidP="00000000" w:rsidRDefault="00000000" w:rsidRPr="00000000" w14:paraId="0000021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11">
      <w:pPr>
        <w:numPr>
          <w:ilvl w:val="0"/>
          <w:numId w:val="6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Des centres vers le &lt; nom du responsable de traitement &gt;,</w:t>
      </w:r>
    </w:p>
    <w:p w:rsidR="00000000" w:rsidDel="00000000" w:rsidP="00000000" w:rsidRDefault="00000000" w:rsidRPr="00000000" w14:paraId="00000212">
      <w:pPr>
        <w:numPr>
          <w:ilvl w:val="1"/>
          <w:numId w:val="6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Mode de transfert</w:t>
      </w:r>
    </w:p>
    <w:p w:rsidR="00000000" w:rsidDel="00000000" w:rsidP="00000000" w:rsidRDefault="00000000" w:rsidRPr="00000000" w14:paraId="00000213">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 transfert des données entre les centres et le &lt; nom du responsable de traitement &gt; repose sur trois niveaux de chiffrement : </w:t>
      </w:r>
    </w:p>
    <w:p w:rsidR="00000000" w:rsidDel="00000000" w:rsidP="00000000" w:rsidRDefault="00000000" w:rsidRPr="00000000" w14:paraId="00000214">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chiffrées et signées par GPG,</w:t>
      </w:r>
    </w:p>
    <w:p w:rsidR="00000000" w:rsidDel="00000000" w:rsidP="00000000" w:rsidRDefault="00000000" w:rsidRPr="00000000" w14:paraId="00000215">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Protocole de transfert sécurisé,</w:t>
      </w:r>
    </w:p>
    <w:p w:rsidR="00000000" w:rsidDel="00000000" w:rsidP="00000000" w:rsidRDefault="00000000" w:rsidRPr="00000000" w14:paraId="00000216">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Canal VPN.</w:t>
      </w:r>
    </w:p>
    <w:p w:rsidR="00000000" w:rsidDel="00000000" w:rsidP="00000000" w:rsidRDefault="00000000" w:rsidRPr="00000000" w14:paraId="00000217">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propose deux options de protocole de transfert :</w:t>
      </w:r>
    </w:p>
    <w:p w:rsidR="00000000" w:rsidDel="00000000" w:rsidP="00000000" w:rsidRDefault="00000000" w:rsidRPr="00000000" w14:paraId="00000218">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Récupération par le &lt; nom du responsable de traitement &gt; des données déposées sur un serveur SFTP hebergé par le centre</w:t>
      </w:r>
    </w:p>
    <w:p w:rsidR="00000000" w:rsidDel="00000000" w:rsidP="00000000" w:rsidRDefault="00000000" w:rsidRPr="00000000" w14:paraId="00000219">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Envoi HTTPS ponctuel sécurisé par un token d’accès temporaire.</w:t>
      </w:r>
    </w:p>
    <w:p w:rsidR="00000000" w:rsidDel="00000000" w:rsidP="00000000" w:rsidRDefault="00000000" w:rsidRPr="00000000" w14:paraId="0000021A">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 canal VPN peut être site-à-site ou point-à-site.</w:t>
      </w:r>
    </w:p>
    <w:p w:rsidR="00000000" w:rsidDel="00000000" w:rsidP="00000000" w:rsidRDefault="00000000" w:rsidRPr="00000000" w14:paraId="0000021B">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 porteur communique au &lt; nom du responsable de traitement &gt; les modalités de transfert convenues avec le centre et son RSSI.</w:t>
      </w:r>
    </w:p>
    <w:p w:rsidR="00000000" w:rsidDel="00000000" w:rsidP="00000000" w:rsidRDefault="00000000" w:rsidRPr="00000000" w14:paraId="0000021C">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Statut des canaux de transfert à date : </w:t>
      </w:r>
    </w:p>
    <w:p w:rsidR="00000000" w:rsidDel="00000000" w:rsidP="00000000" w:rsidRDefault="00000000" w:rsidRPr="00000000" w14:paraId="0000021D">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le canal entre le &lt; nom de l’établissement de santé &gt; et le &lt; nom du responsable de traitement &gt; est opérationnel</w:t>
      </w:r>
    </w:p>
    <w:p w:rsidR="00000000" w:rsidDel="00000000" w:rsidP="00000000" w:rsidRDefault="00000000" w:rsidRPr="00000000" w14:paraId="0000021E">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le canal entre  le &lt; nom de l’établissement de santé &gt;et le &lt; nom du responsable de traitement &gt; est en cours de déploiement</w:t>
      </w:r>
    </w:p>
    <w:p w:rsidR="00000000" w:rsidDel="00000000" w:rsidP="00000000" w:rsidRDefault="00000000" w:rsidRPr="00000000" w14:paraId="0000021F">
      <w:pPr>
        <w:widowControl w:val="0"/>
        <w:numPr>
          <w:ilvl w:val="3"/>
          <w:numId w:val="61"/>
        </w:numPr>
        <w:spacing w:line="240" w:lineRule="auto"/>
        <w:ind w:left="288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canaux avec  le &lt; nom de l’établissement de santé &gt; et  le &lt; nom de l’établissement de santé &gt;seront déployés au cours du projet</w:t>
      </w:r>
    </w:p>
    <w:p w:rsidR="00000000" w:rsidDel="00000000" w:rsidP="00000000" w:rsidRDefault="00000000" w:rsidRPr="00000000" w14:paraId="00000220">
      <w:pPr>
        <w:numPr>
          <w:ilvl w:val="1"/>
          <w:numId w:val="6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Transfert</w:t>
      </w:r>
    </w:p>
    <w:p w:rsidR="00000000" w:rsidDel="00000000" w:rsidP="00000000" w:rsidRDefault="00000000" w:rsidRPr="00000000" w14:paraId="00000221">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sont chiffrées et signées par le centre. </w:t>
      </w:r>
    </w:p>
    <w:p w:rsidR="00000000" w:rsidDel="00000000" w:rsidP="00000000" w:rsidRDefault="00000000" w:rsidRPr="00000000" w14:paraId="00000222">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Si la volumétrie des données est importante, il est possible de compresser les données avec Gzip.</w:t>
      </w:r>
    </w:p>
    <w:p w:rsidR="00000000" w:rsidDel="00000000" w:rsidP="00000000" w:rsidRDefault="00000000" w:rsidRPr="00000000" w14:paraId="00000223">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sont envoyées par le centre (ou déposées sur leur serveur SFTP) et récupérées par le &lt; nom du responsable de traitement &gt;.</w:t>
      </w:r>
    </w:p>
    <w:p w:rsidR="00000000" w:rsidDel="00000000" w:rsidP="00000000" w:rsidRDefault="00000000" w:rsidRPr="00000000" w14:paraId="0000022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25">
      <w:pPr>
        <w:numPr>
          <w:ilvl w:val="0"/>
          <w:numId w:val="6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De la CNAM vers le &lt; nom du responsable de traitement &gt; (canal déjà en place), </w:t>
      </w:r>
    </w:p>
    <w:p w:rsidR="00000000" w:rsidDel="00000000" w:rsidP="00000000" w:rsidRDefault="00000000" w:rsidRPr="00000000" w14:paraId="00000226">
      <w:pPr>
        <w:widowControl w:val="0"/>
        <w:numPr>
          <w:ilvl w:val="1"/>
          <w:numId w:val="6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 transfert des données entre la CNAM et le &lt; nom du responsable de traitement &gt; repose sur trois niveaux de chiffrement : </w:t>
      </w:r>
    </w:p>
    <w:p w:rsidR="00000000" w:rsidDel="00000000" w:rsidP="00000000" w:rsidRDefault="00000000" w:rsidRPr="00000000" w14:paraId="00000227">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Données chiffrées et signées par GPG,</w:t>
      </w:r>
    </w:p>
    <w:p w:rsidR="00000000" w:rsidDel="00000000" w:rsidP="00000000" w:rsidRDefault="00000000" w:rsidRPr="00000000" w14:paraId="00000228">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Protocole de transfert sécurisé : les données sont poussées par la CNAM sur un serveur SFTP dédié hébergé par la CNAM,</w:t>
      </w:r>
    </w:p>
    <w:p w:rsidR="00000000" w:rsidDel="00000000" w:rsidP="00000000" w:rsidRDefault="00000000" w:rsidRPr="00000000" w14:paraId="00000229">
      <w:pPr>
        <w:widowControl w:val="0"/>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Canal VPN site-à-site entre la CNAM et le &lt; nom du responsable de traitement &gt;.</w:t>
      </w:r>
    </w:p>
    <w:p w:rsidR="00000000" w:rsidDel="00000000" w:rsidP="00000000" w:rsidRDefault="00000000" w:rsidRPr="00000000" w14:paraId="0000022A">
      <w:pPr>
        <w:numPr>
          <w:ilvl w:val="1"/>
          <w:numId w:val="6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Transfert : </w:t>
      </w:r>
    </w:p>
    <w:p w:rsidR="00000000" w:rsidDel="00000000" w:rsidP="00000000" w:rsidRDefault="00000000" w:rsidRPr="00000000" w14:paraId="0000022B">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sont chiffrées, signées et compressées par la CNAM. </w:t>
      </w:r>
    </w:p>
    <w:p w:rsidR="00000000" w:rsidDel="00000000" w:rsidP="00000000" w:rsidRDefault="00000000" w:rsidRPr="00000000" w14:paraId="0000022C">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sont déposées par la CNAM sur le serveur SFTP.</w:t>
      </w:r>
    </w:p>
    <w:p w:rsidR="00000000" w:rsidDel="00000000" w:rsidP="00000000" w:rsidRDefault="00000000" w:rsidRPr="00000000" w14:paraId="0000022D">
      <w:pPr>
        <w:numPr>
          <w:ilvl w:val="2"/>
          <w:numId w:val="6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sont récupérées par le &lt; nom du responsable de traitement &gt; depuis le serveur SFTP de la CNAM sur la plateforme technologique du &lt; nom du responsable de traitement &gt;.</w:t>
      </w:r>
    </w:p>
    <w:p w:rsidR="00000000" w:rsidDel="00000000" w:rsidP="00000000" w:rsidRDefault="00000000" w:rsidRPr="00000000" w14:paraId="0000022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2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30">
      <w:pPr>
        <w:pStyle w:val="Heading3"/>
        <w:numPr>
          <w:ilvl w:val="2"/>
          <w:numId w:val="7"/>
        </w:numPr>
        <w:spacing w:after="80" w:before="320" w:line="240" w:lineRule="auto"/>
        <w:ind w:right="-40.8661417322827"/>
        <w:rPr>
          <w:rFonts w:ascii="Tahoma" w:cs="Tahoma" w:eastAsia="Tahoma" w:hAnsi="Tahoma"/>
          <w:color w:val="434343"/>
          <w:sz w:val="24"/>
          <w:szCs w:val="24"/>
        </w:rPr>
      </w:pPr>
      <w:bookmarkStart w:colFirst="0" w:colLast="0" w:name="_9r0bx61o1mid" w:id="34"/>
      <w:bookmarkEnd w:id="34"/>
      <w:r w:rsidDel="00000000" w:rsidR="00000000" w:rsidRPr="00000000">
        <w:rPr>
          <w:color w:val="434343"/>
          <w:sz w:val="28"/>
          <w:szCs w:val="28"/>
          <w:u w:val="single"/>
          <w:rtl w:val="0"/>
        </w:rPr>
        <w:t xml:space="preserve">Génération des ID</w:t>
      </w:r>
      <w:r w:rsidDel="00000000" w:rsidR="00000000" w:rsidRPr="00000000">
        <w:rPr>
          <w:rtl w:val="0"/>
        </w:rPr>
      </w:r>
    </w:p>
    <w:p w:rsidR="00000000" w:rsidDel="00000000" w:rsidP="00000000" w:rsidRDefault="00000000" w:rsidRPr="00000000" w14:paraId="0000023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32">
      <w:pPr>
        <w:numPr>
          <w:ilvl w:val="0"/>
          <w:numId w:val="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ID_acc_X</w:t>
      </w:r>
    </w:p>
    <w:p w:rsidR="00000000" w:rsidDel="00000000" w:rsidP="00000000" w:rsidRDefault="00000000" w:rsidRPr="00000000" w14:paraId="00000233">
      <w:pPr>
        <w:numPr>
          <w:ilvl w:val="1"/>
          <w:numId w:val="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Cet ID est généré par chaque centre en utilisant une fonction de hachage à clé (HMAC - SHA-256 avec une clef spécifique à l’étude et au centre), suivi d’une étape de troncature à 18 caractères (pour assurer la compatibilité avec la suite du circuit)</w:t>
        <w:br w:type="textWrapping"/>
      </w:r>
    </w:p>
    <w:p w:rsidR="00000000" w:rsidDel="00000000" w:rsidP="00000000" w:rsidRDefault="00000000" w:rsidRPr="00000000" w14:paraId="00000234">
      <w:pPr>
        <w:numPr>
          <w:ilvl w:val="0"/>
          <w:numId w:val="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ID_unique</w:t>
      </w:r>
    </w:p>
    <w:p w:rsidR="00000000" w:rsidDel="00000000" w:rsidP="00000000" w:rsidRDefault="00000000" w:rsidRPr="00000000" w14:paraId="00000235">
      <w:pPr>
        <w:numPr>
          <w:ilvl w:val="1"/>
          <w:numId w:val="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Cet ID est généré par la CNAM, en utilisant une transformation commune à l’ensemble des centres. </w:t>
      </w:r>
    </w:p>
    <w:p w:rsidR="00000000" w:rsidDel="00000000" w:rsidP="00000000" w:rsidRDefault="00000000" w:rsidRPr="00000000" w14:paraId="00000236">
      <w:pPr>
        <w:numPr>
          <w:ilvl w:val="2"/>
          <w:numId w:val="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éléments d’identification {NIR ouvreur de droit, date de naissance bénéficiaire, sexe bénéficiaire} sont pseudonymisés à trois niveaux par différentes entités de la CNAM. Le pseudonyme de niveau 3 est généré par un secret spécifique au &lt; nom du responsable de traitement &gt;.</w:t>
      </w:r>
    </w:p>
    <w:p w:rsidR="00000000" w:rsidDel="00000000" w:rsidP="00000000" w:rsidRDefault="00000000" w:rsidRPr="00000000" w14:paraId="00000237">
      <w:pPr>
        <w:numPr>
          <w:ilvl w:val="2"/>
          <w:numId w:val="1"/>
        </w:numPr>
        <w:spacing w:line="240" w:lineRule="auto"/>
        <w:ind w:left="2160" w:right="-40.8661417322827" w:hanging="360"/>
        <w:jc w:val="both"/>
        <w:rPr>
          <w:rFonts w:ascii="Tahoma" w:cs="Tahoma" w:eastAsia="Tahoma" w:hAnsi="Tahoma"/>
        </w:rPr>
      </w:pPr>
      <w:r w:rsidDel="00000000" w:rsidR="00000000" w:rsidRPr="00000000">
        <w:rPr>
          <w:rFonts w:ascii="Tahoma" w:cs="Tahoma" w:eastAsia="Tahoma" w:hAnsi="Tahoma"/>
          <w:rtl w:val="0"/>
        </w:rPr>
        <w:t xml:space="preserve">L’ID_unique correspond au BEN_NIR_ANO (NIR bénéficiaire pseudonymisé)</w:t>
        <w:br w:type="textWrapping"/>
      </w:r>
    </w:p>
    <w:p w:rsidR="00000000" w:rsidDel="00000000" w:rsidP="00000000" w:rsidRDefault="00000000" w:rsidRPr="00000000" w14:paraId="00000238">
      <w:pPr>
        <w:numPr>
          <w:ilvl w:val="0"/>
          <w:numId w:val="1"/>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ID_EDS</w:t>
      </w:r>
    </w:p>
    <w:p w:rsidR="00000000" w:rsidDel="00000000" w:rsidP="00000000" w:rsidRDefault="00000000" w:rsidRPr="00000000" w14:paraId="00000239">
      <w:pPr>
        <w:numPr>
          <w:ilvl w:val="1"/>
          <w:numId w:val="1"/>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Cet ID est généré par le &lt; nom du responsable de traitement &gt;, à partir de deux opérations de “masquage” irréversibles et déterministes (HMAC-SHA256) effectuées sur l’ID_unique. La deuxième opération de masquage s’effectue avec un secret spécifique au projet.</w:t>
      </w:r>
    </w:p>
    <w:p w:rsidR="00000000" w:rsidDel="00000000" w:rsidP="00000000" w:rsidRDefault="00000000" w:rsidRPr="00000000" w14:paraId="0000023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3B">
      <w:pPr>
        <w:pStyle w:val="Heading3"/>
        <w:numPr>
          <w:ilvl w:val="2"/>
          <w:numId w:val="7"/>
        </w:numPr>
        <w:spacing w:after="80" w:before="320" w:line="240" w:lineRule="auto"/>
        <w:ind w:right="-40.8661417322827"/>
        <w:rPr>
          <w:rFonts w:ascii="Tahoma" w:cs="Tahoma" w:eastAsia="Tahoma" w:hAnsi="Tahoma"/>
          <w:color w:val="434343"/>
          <w:sz w:val="24"/>
          <w:szCs w:val="24"/>
        </w:rPr>
      </w:pPr>
      <w:bookmarkStart w:colFirst="0" w:colLast="0" w:name="_m8cwdwxt4d8x" w:id="35"/>
      <w:bookmarkEnd w:id="35"/>
      <w:r w:rsidDel="00000000" w:rsidR="00000000" w:rsidRPr="00000000">
        <w:rPr>
          <w:color w:val="434343"/>
          <w:sz w:val="28"/>
          <w:szCs w:val="28"/>
          <w:u w:val="single"/>
          <w:rtl w:val="0"/>
        </w:rPr>
        <w:t xml:space="preserve">Conservation des tables de correspondance / des secrets</w:t>
      </w:r>
      <w:r w:rsidDel="00000000" w:rsidR="00000000" w:rsidRPr="00000000">
        <w:rPr>
          <w:rtl w:val="0"/>
        </w:rPr>
      </w:r>
    </w:p>
    <w:p w:rsidR="00000000" w:rsidDel="00000000" w:rsidP="00000000" w:rsidRDefault="00000000" w:rsidRPr="00000000" w14:paraId="0000023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23D">
      <w:pPr>
        <w:numPr>
          <w:ilvl w:val="0"/>
          <w:numId w:val="2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[ID_source_X ; ID_acc_X]</w:t>
      </w:r>
    </w:p>
    <w:p w:rsidR="00000000" w:rsidDel="00000000" w:rsidP="00000000" w:rsidRDefault="00000000" w:rsidRPr="00000000" w14:paraId="0000023E">
      <w:pPr>
        <w:numPr>
          <w:ilvl w:val="1"/>
          <w:numId w:val="26"/>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centre conserve les tables de correspondances créées en vue de l’appariement [ID_source_X ; ID_acc_X] au sein de son système d’information. Pour un même fournisseur de données , plusieurs de ces tables seront constituées, à chaque renouvellement de l’appariement au SNDS. Afin de garder la trace des patients des centres déjà intégrés dans le &lt; nom de l'entrepôt &gt;, ces tables seront conservées par les centres pendant toute la durée de constitution de &lt; nom de l'entrepôt &gt;.</w:t>
        <w:br w:type="textWrapping"/>
      </w:r>
    </w:p>
    <w:p w:rsidR="00000000" w:rsidDel="00000000" w:rsidP="00000000" w:rsidRDefault="00000000" w:rsidRPr="00000000" w14:paraId="0000023F">
      <w:pPr>
        <w:numPr>
          <w:ilvl w:val="0"/>
          <w:numId w:val="2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[ID_acc_X ; ID_unique]</w:t>
      </w:r>
    </w:p>
    <w:p w:rsidR="00000000" w:rsidDel="00000000" w:rsidP="00000000" w:rsidRDefault="00000000" w:rsidRPr="00000000" w14:paraId="00000240">
      <w:pPr>
        <w:numPr>
          <w:ilvl w:val="1"/>
          <w:numId w:val="26"/>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un équivalent de [ID_acc_X ; ID_unique] avec des pseudonymes propres à la plateforme technologique, générés à partir d’une 1ère transformation de masquage (HMAC-SHA256), pourra être conservée au sein de la plateforme technologique pendant toute la durée du projet pendant laquelle des mises à jour seront nécessaires.</w:t>
        <w:br w:type="textWrapping"/>
      </w:r>
    </w:p>
    <w:p w:rsidR="00000000" w:rsidDel="00000000" w:rsidP="00000000" w:rsidRDefault="00000000" w:rsidRPr="00000000" w14:paraId="0000024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42">
      <w:pPr>
        <w:pStyle w:val="Heading3"/>
        <w:numPr>
          <w:ilvl w:val="2"/>
          <w:numId w:val="7"/>
        </w:numPr>
        <w:spacing w:after="80" w:before="320" w:line="240" w:lineRule="auto"/>
        <w:ind w:right="-40.8661417322827"/>
        <w:rPr>
          <w:rFonts w:ascii="Tahoma" w:cs="Tahoma" w:eastAsia="Tahoma" w:hAnsi="Tahoma"/>
          <w:color w:val="434343"/>
          <w:sz w:val="24"/>
          <w:szCs w:val="24"/>
        </w:rPr>
      </w:pPr>
      <w:bookmarkStart w:colFirst="0" w:colLast="0" w:name="_b61742rcoksw" w:id="36"/>
      <w:bookmarkEnd w:id="36"/>
      <w:r w:rsidDel="00000000" w:rsidR="00000000" w:rsidRPr="00000000">
        <w:rPr>
          <w:color w:val="434343"/>
          <w:sz w:val="28"/>
          <w:szCs w:val="28"/>
          <w:u w:val="single"/>
          <w:rtl w:val="0"/>
        </w:rPr>
        <w:t xml:space="preserve">Modalités d’accès aux données</w:t>
      </w:r>
      <w:r w:rsidDel="00000000" w:rsidR="00000000" w:rsidRPr="00000000">
        <w:rPr>
          <w:rtl w:val="0"/>
        </w:rPr>
      </w:r>
    </w:p>
    <w:p w:rsidR="00000000" w:rsidDel="00000000" w:rsidP="00000000" w:rsidRDefault="00000000" w:rsidRPr="00000000" w14:paraId="00000243">
      <w:pPr>
        <w:rPr>
          <w:rFonts w:ascii="Tahoma" w:cs="Tahoma" w:eastAsia="Tahoma" w:hAnsi="Tahoma"/>
        </w:rPr>
      </w:pPr>
      <w:r w:rsidDel="00000000" w:rsidR="00000000" w:rsidRPr="00000000">
        <w:rPr>
          <w:rtl w:val="0"/>
        </w:rPr>
      </w:r>
    </w:p>
    <w:p w:rsidR="00000000" w:rsidDel="00000000" w:rsidP="00000000" w:rsidRDefault="00000000" w:rsidRPr="00000000" w14:paraId="00000244">
      <w:pPr>
        <w:spacing w:line="240" w:lineRule="auto"/>
        <w:jc w:val="both"/>
        <w:rPr>
          <w:rFonts w:ascii="Tahoma" w:cs="Tahoma" w:eastAsia="Tahoma" w:hAnsi="Tahoma"/>
        </w:rPr>
      </w:pPr>
      <w:r w:rsidDel="00000000" w:rsidR="00000000" w:rsidRPr="00000000">
        <w:rPr>
          <w:rFonts w:ascii="Tahoma" w:cs="Tahoma" w:eastAsia="Tahoma" w:hAnsi="Tahoma"/>
          <w:rtl w:val="0"/>
        </w:rPr>
        <w:t xml:space="preserve">Il existe 2 modes d’accès aux données : </w:t>
      </w:r>
    </w:p>
    <w:p w:rsidR="00000000" w:rsidDel="00000000" w:rsidP="00000000" w:rsidRDefault="00000000" w:rsidRPr="00000000" w14:paraId="00000245">
      <w:pPr>
        <w:numPr>
          <w:ilvl w:val="0"/>
          <w:numId w:val="24"/>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mises à disposition sur un espace d’analyse sur la plateforme technologique du &lt; nom du responsable de traitement &gt;</w:t>
      </w:r>
    </w:p>
    <w:p w:rsidR="00000000" w:rsidDel="00000000" w:rsidP="00000000" w:rsidRDefault="00000000" w:rsidRPr="00000000" w14:paraId="00000246">
      <w:pPr>
        <w:numPr>
          <w:ilvl w:val="0"/>
          <w:numId w:val="24"/>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mises à disposition sur un système fils</w:t>
      </w:r>
    </w:p>
    <w:p w:rsidR="00000000" w:rsidDel="00000000" w:rsidP="00000000" w:rsidRDefault="00000000" w:rsidRPr="00000000" w14:paraId="00000247">
      <w:pPr>
        <w:rPr>
          <w:rFonts w:ascii="Tahoma" w:cs="Tahoma" w:eastAsia="Tahoma" w:hAnsi="Tahoma"/>
        </w:rPr>
      </w:pPr>
      <w:r w:rsidDel="00000000" w:rsidR="00000000" w:rsidRPr="00000000">
        <w:rPr>
          <w:rtl w:val="0"/>
        </w:rPr>
      </w:r>
    </w:p>
    <w:p w:rsidR="00000000" w:rsidDel="00000000" w:rsidP="00000000" w:rsidRDefault="00000000" w:rsidRPr="00000000" w14:paraId="00000248">
      <w:pPr>
        <w:numPr>
          <w:ilvl w:val="3"/>
          <w:numId w:val="7"/>
        </w:numPr>
        <w:ind w:left="2880" w:hanging="360"/>
        <w:rPr>
          <w:rFonts w:ascii="Tahoma" w:cs="Tahoma" w:eastAsia="Tahoma" w:hAnsi="Tahoma"/>
        </w:rPr>
      </w:pPr>
      <w:r w:rsidDel="00000000" w:rsidR="00000000" w:rsidRPr="00000000">
        <w:rPr>
          <w:rFonts w:ascii="Tahoma" w:cs="Tahoma" w:eastAsia="Tahoma" w:hAnsi="Tahoma"/>
          <w:rtl w:val="0"/>
        </w:rPr>
        <w:t xml:space="preserve">Accès sur la plateforme technologique du &lt; nom du responsable de traitement &gt;</w:t>
      </w:r>
    </w:p>
    <w:p w:rsidR="00000000" w:rsidDel="00000000" w:rsidP="00000000" w:rsidRDefault="00000000" w:rsidRPr="00000000" w14:paraId="00000249">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24A">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Mise à disposition des données aux utilisateurs habilités sur la plateforme technologique du &lt; nom du responsable de traitement &gt;.</w:t>
      </w:r>
    </w:p>
    <w:p w:rsidR="00000000" w:rsidDel="00000000" w:rsidP="00000000" w:rsidRDefault="00000000" w:rsidRPr="00000000" w14:paraId="0000024B">
      <w:pPr>
        <w:spacing w:line="240" w:lineRule="auto"/>
        <w:ind w:right="-40.8661417322827"/>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24C">
      <w:pPr>
        <w:spacing w:line="240" w:lineRule="auto"/>
        <w:ind w:right="-40.8661417322827"/>
        <w:jc w:val="both"/>
        <w:rPr>
          <w:rFonts w:ascii="Tahoma" w:cs="Tahoma" w:eastAsia="Tahoma" w:hAnsi="Tahoma"/>
          <w:u w:val="single"/>
        </w:rPr>
      </w:pPr>
      <w:r w:rsidDel="00000000" w:rsidR="00000000" w:rsidRPr="00000000">
        <w:rPr>
          <w:rFonts w:ascii="Tahoma" w:cs="Tahoma" w:eastAsia="Tahoma" w:hAnsi="Tahoma"/>
          <w:u w:val="single"/>
          <w:rtl w:val="0"/>
        </w:rPr>
        <w:t xml:space="preserve">Habilitation des utilisateurs</w:t>
      </w:r>
    </w:p>
    <w:p w:rsidR="00000000" w:rsidDel="00000000" w:rsidP="00000000" w:rsidRDefault="00000000" w:rsidRPr="00000000" w14:paraId="0000024D">
      <w:pPr>
        <w:numPr>
          <w:ilvl w:val="0"/>
          <w:numId w:val="4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Un contrat d’utilisation de la plateforme est établi entre le &lt; nom du sous-traitant &gt;, le responsable de traitement et le fournisseur de données.</w:t>
      </w:r>
    </w:p>
    <w:p w:rsidR="00000000" w:rsidDel="00000000" w:rsidP="00000000" w:rsidRDefault="00000000" w:rsidRPr="00000000" w14:paraId="0000024E">
      <w:pPr>
        <w:numPr>
          <w:ilvl w:val="0"/>
          <w:numId w:val="4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utilisateurs signent les conditions générales d’utilisation de la plateforme technologique.</w:t>
      </w:r>
    </w:p>
    <w:p w:rsidR="00000000" w:rsidDel="00000000" w:rsidP="00000000" w:rsidRDefault="00000000" w:rsidRPr="00000000" w14:paraId="0000024F">
      <w:pPr>
        <w:numPr>
          <w:ilvl w:val="0"/>
          <w:numId w:val="4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Chaque utilisateur doit participer à une session de sensibilisation dispensée par les équipes juridique et SSI du &lt; nom du responsable de traitement &gt;. </w:t>
      </w:r>
    </w:p>
    <w:p w:rsidR="00000000" w:rsidDel="00000000" w:rsidP="00000000" w:rsidRDefault="00000000" w:rsidRPr="00000000" w14:paraId="00000250">
      <w:pPr>
        <w:numPr>
          <w:ilvl w:val="0"/>
          <w:numId w:val="4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futurs utilisateurs doivent justifier leur connaissance de la base principale du SNDS (formations préalable, expérience, etc.), ou suivre une formation obligatoire dispensée par les experts SNDS du &lt; nom du responsable de traitement &gt;. </w:t>
      </w:r>
    </w:p>
    <w:p w:rsidR="00000000" w:rsidDel="00000000" w:rsidP="00000000" w:rsidRDefault="00000000" w:rsidRPr="00000000" w14:paraId="00000251">
      <w:pPr>
        <w:numPr>
          <w:ilvl w:val="0"/>
          <w:numId w:val="45"/>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opérateurs du &lt; nom du responsable de traitement &gt; assurent tous les 3 mois une revue des droits des utilisateurs.</w:t>
      </w:r>
    </w:p>
    <w:p w:rsidR="00000000" w:rsidDel="00000000" w:rsidP="00000000" w:rsidRDefault="00000000" w:rsidRPr="00000000" w14:paraId="00000252">
      <w:pPr>
        <w:spacing w:line="240" w:lineRule="auto"/>
        <w:ind w:right="-40.8661417322827"/>
        <w:jc w:val="both"/>
        <w:rPr>
          <w:rFonts w:ascii="Tahoma" w:cs="Tahoma" w:eastAsia="Tahoma" w:hAnsi="Tahoma"/>
          <w:sz w:val="24"/>
          <w:szCs w:val="24"/>
          <w:u w:val="single"/>
        </w:rPr>
      </w:pPr>
      <w:r w:rsidDel="00000000" w:rsidR="00000000" w:rsidRPr="00000000">
        <w:rPr>
          <w:rtl w:val="0"/>
        </w:rPr>
      </w:r>
    </w:p>
    <w:p w:rsidR="00000000" w:rsidDel="00000000" w:rsidP="00000000" w:rsidRDefault="00000000" w:rsidRPr="00000000" w14:paraId="00000253">
      <w:pPr>
        <w:spacing w:line="240" w:lineRule="auto"/>
        <w:ind w:right="-40.8661417322827"/>
        <w:jc w:val="both"/>
        <w:rPr>
          <w:rFonts w:ascii="Tahoma" w:cs="Tahoma" w:eastAsia="Tahoma" w:hAnsi="Tahoma"/>
        </w:rPr>
      </w:pPr>
      <w:r w:rsidDel="00000000" w:rsidR="00000000" w:rsidRPr="00000000">
        <w:rPr>
          <w:rFonts w:ascii="Tahoma" w:cs="Tahoma" w:eastAsia="Tahoma" w:hAnsi="Tahoma"/>
          <w:u w:val="single"/>
          <w:rtl w:val="0"/>
        </w:rPr>
        <w:t xml:space="preserve">Mise en place d’un espace d’analyse dédié au projet :</w:t>
      </w:r>
      <w:r w:rsidDel="00000000" w:rsidR="00000000" w:rsidRPr="00000000">
        <w:rPr>
          <w:rtl w:val="0"/>
        </w:rPr>
      </w:r>
    </w:p>
    <w:p w:rsidR="00000000" w:rsidDel="00000000" w:rsidP="00000000" w:rsidRDefault="00000000" w:rsidRPr="00000000" w14:paraId="00000254">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opérateurs d</w:t>
      </w:r>
      <w:r w:rsidDel="00000000" w:rsidR="00000000" w:rsidRPr="00000000">
        <w:rPr>
          <w:rFonts w:ascii="Tahoma" w:cs="Tahoma" w:eastAsia="Tahoma" w:hAnsi="Tahoma"/>
          <w:rtl w:val="0"/>
        </w:rPr>
        <w:t xml:space="preserve">u &lt; nom du responsable de traitement &gt; déploient un espace d’analyse dédié au projet (outils, capacité, etc.). </w:t>
      </w:r>
    </w:p>
    <w:p w:rsidR="00000000" w:rsidDel="00000000" w:rsidP="00000000" w:rsidRDefault="00000000" w:rsidRPr="00000000" w14:paraId="00000255">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opérateurs du &lt; nom du responsable de traitement &gt; créent des comptes aux utilisateurs projet et leur donnent accès à l’espace d'analyse (au sein de la plateforme technologique) qui leur est dédié.</w:t>
      </w:r>
    </w:p>
    <w:p w:rsidR="00000000" w:rsidDel="00000000" w:rsidP="00000000" w:rsidRDefault="00000000" w:rsidRPr="00000000" w14:paraId="00000256">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Cet espace contient les outils de traitement et d'analyse de données utiles au projet et les données du projet.</w:t>
      </w:r>
    </w:p>
    <w:p w:rsidR="00000000" w:rsidDel="00000000" w:rsidP="00000000" w:rsidRDefault="00000000" w:rsidRPr="00000000" w14:paraId="00000257">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capacités de calcul mises à disposition sur cet espace projet seront adaptées au projet et pourront évoluer en fonction des besoins en temps réel. </w:t>
      </w:r>
    </w:p>
    <w:p w:rsidR="00000000" w:rsidDel="00000000" w:rsidP="00000000" w:rsidRDefault="00000000" w:rsidRPr="00000000" w14:paraId="0000025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59">
      <w:pPr>
        <w:spacing w:line="240" w:lineRule="auto"/>
        <w:ind w:right="-40.8661417322827"/>
        <w:jc w:val="both"/>
        <w:rPr>
          <w:rFonts w:ascii="Tahoma" w:cs="Tahoma" w:eastAsia="Tahoma" w:hAnsi="Tahoma"/>
        </w:rPr>
      </w:pPr>
      <w:r w:rsidDel="00000000" w:rsidR="00000000" w:rsidRPr="00000000">
        <w:rPr>
          <w:rFonts w:ascii="Tahoma" w:cs="Tahoma" w:eastAsia="Tahoma" w:hAnsi="Tahoma"/>
          <w:u w:val="single"/>
          <w:rtl w:val="0"/>
        </w:rPr>
        <w:t xml:space="preserve">Mise à disposition des données :</w:t>
      </w:r>
      <w:r w:rsidDel="00000000" w:rsidR="00000000" w:rsidRPr="00000000">
        <w:rPr>
          <w:rtl w:val="0"/>
        </w:rPr>
      </w:r>
    </w:p>
    <w:p w:rsidR="00000000" w:rsidDel="00000000" w:rsidP="00000000" w:rsidRDefault="00000000" w:rsidRPr="00000000" w14:paraId="0000025A">
      <w:pPr>
        <w:numPr>
          <w:ilvl w:val="0"/>
          <w:numId w:val="39"/>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données récupérées dans les centres passent via divers automates de masquage (hash des identifiants) et vérification sur la plateforme du &lt; nom du responsable de traitement &gt;.</w:t>
      </w:r>
    </w:p>
    <w:p w:rsidR="00000000" w:rsidDel="00000000" w:rsidP="00000000" w:rsidRDefault="00000000" w:rsidRPr="00000000" w14:paraId="0000025B">
      <w:pPr>
        <w:numPr>
          <w:ilvl w:val="0"/>
          <w:numId w:val="39"/>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L'intégrité, la conformité et le masquage des données ingérées pour le projet sont vérifiées par un référent données du &lt; nom du responsable de traitement &gt; avant la mise à disposition sur l’espace d’analyse. </w:t>
      </w:r>
    </w:p>
    <w:p w:rsidR="00000000" w:rsidDel="00000000" w:rsidP="00000000" w:rsidRDefault="00000000" w:rsidRPr="00000000" w14:paraId="0000025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5D">
      <w:pPr>
        <w:spacing w:line="240" w:lineRule="auto"/>
        <w:ind w:right="-40.8661417322827"/>
        <w:jc w:val="both"/>
        <w:rPr>
          <w:rFonts w:ascii="Tahoma" w:cs="Tahoma" w:eastAsia="Tahoma" w:hAnsi="Tahoma"/>
          <w:u w:val="single"/>
        </w:rPr>
      </w:pPr>
      <w:r w:rsidDel="00000000" w:rsidR="00000000" w:rsidRPr="00000000">
        <w:rPr>
          <w:rFonts w:ascii="Tahoma" w:cs="Tahoma" w:eastAsia="Tahoma" w:hAnsi="Tahoma"/>
          <w:u w:val="single"/>
          <w:rtl w:val="0"/>
        </w:rPr>
        <w:t xml:space="preserve">Connexion des utilisateurs à l’espace d’analyse :</w:t>
      </w:r>
    </w:p>
    <w:p w:rsidR="00000000" w:rsidDel="00000000" w:rsidP="00000000" w:rsidRDefault="00000000" w:rsidRPr="00000000" w14:paraId="0000025E">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L’intégrité du poste physique des utilisateurs est vérifiée par l’outil VDI (Virtual Desktop Infrastructure, ou Bureau Virtuel) </w:t>
      </w:r>
    </w:p>
    <w:p w:rsidR="00000000" w:rsidDel="00000000" w:rsidP="00000000" w:rsidRDefault="00000000" w:rsidRPr="00000000" w14:paraId="0000025F">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utilisateurs s’identifient ensuite via une authentification forte.</w:t>
      </w:r>
    </w:p>
    <w:p w:rsidR="00000000" w:rsidDel="00000000" w:rsidP="00000000" w:rsidRDefault="00000000" w:rsidRPr="00000000" w14:paraId="00000260">
      <w:pPr>
        <w:numPr>
          <w:ilvl w:val="0"/>
          <w:numId w:val="54"/>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Une connexion sécurisée (chiffrement HTTPS) est alors établie avec la plateforme VDI qui présente un bureau virtuel :</w:t>
      </w:r>
    </w:p>
    <w:p w:rsidR="00000000" w:rsidDel="00000000" w:rsidP="00000000" w:rsidRDefault="00000000" w:rsidRPr="00000000" w14:paraId="00000261">
      <w:pPr>
        <w:numPr>
          <w:ilvl w:val="1"/>
          <w:numId w:val="54"/>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dédié à l’utilisateur et lié à l’espace auquel l’utilisateur est rattaché ;</w:t>
      </w:r>
    </w:p>
    <w:p w:rsidR="00000000" w:rsidDel="00000000" w:rsidP="00000000" w:rsidRDefault="00000000" w:rsidRPr="00000000" w14:paraId="00000262">
      <w:pPr>
        <w:numPr>
          <w:ilvl w:val="1"/>
          <w:numId w:val="54"/>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sans accès à Internet ;</w:t>
      </w:r>
    </w:p>
    <w:p w:rsidR="00000000" w:rsidDel="00000000" w:rsidP="00000000" w:rsidRDefault="00000000" w:rsidRPr="00000000" w14:paraId="00000263">
      <w:pPr>
        <w:numPr>
          <w:ilvl w:val="1"/>
          <w:numId w:val="54"/>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sans droit d’administration.</w:t>
      </w:r>
    </w:p>
    <w:p w:rsidR="00000000" w:rsidDel="00000000" w:rsidP="00000000" w:rsidRDefault="00000000" w:rsidRPr="00000000" w14:paraId="0000026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65">
      <w:pPr>
        <w:spacing w:line="240" w:lineRule="auto"/>
        <w:ind w:right="-40.8661417322827"/>
        <w:jc w:val="both"/>
        <w:rPr>
          <w:rFonts w:ascii="Tahoma" w:cs="Tahoma" w:eastAsia="Tahoma" w:hAnsi="Tahoma"/>
          <w:u w:val="single"/>
        </w:rPr>
      </w:pPr>
      <w:r w:rsidDel="00000000" w:rsidR="00000000" w:rsidRPr="00000000">
        <w:rPr>
          <w:rFonts w:ascii="Tahoma" w:cs="Tahoma" w:eastAsia="Tahoma" w:hAnsi="Tahoma"/>
          <w:u w:val="single"/>
          <w:rtl w:val="0"/>
        </w:rPr>
        <w:t xml:space="preserve">Traitement des données par les utilisateurs :</w:t>
      </w:r>
    </w:p>
    <w:p w:rsidR="00000000" w:rsidDel="00000000" w:rsidP="00000000" w:rsidRDefault="00000000" w:rsidRPr="00000000" w14:paraId="00000266">
      <w:pPr>
        <w:numPr>
          <w:ilvl w:val="0"/>
          <w:numId w:val="5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utilisateurs réalisent des requêtes et traitements, distribués ou non, sur les données contenues dans leur espace d’analyse.</w:t>
      </w:r>
    </w:p>
    <w:p w:rsidR="00000000" w:rsidDel="00000000" w:rsidP="00000000" w:rsidRDefault="00000000" w:rsidRPr="00000000" w14:paraId="00000267">
      <w:pPr>
        <w:numPr>
          <w:ilvl w:val="0"/>
          <w:numId w:val="5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traitements sont réalisés au travers d’outils accessibles depuis le navigateur de leur bureau virtuel.</w:t>
      </w:r>
    </w:p>
    <w:p w:rsidR="00000000" w:rsidDel="00000000" w:rsidP="00000000" w:rsidRDefault="00000000" w:rsidRPr="00000000" w14:paraId="00000268">
      <w:pPr>
        <w:numPr>
          <w:ilvl w:val="0"/>
          <w:numId w:val="5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utilisateurs ont à leur disposition un outil collaboratif leur permettant de partager leurs programmes ou encore de gérer les différentes versions de code.</w:t>
      </w:r>
    </w:p>
    <w:p w:rsidR="00000000" w:rsidDel="00000000" w:rsidP="00000000" w:rsidRDefault="00000000" w:rsidRPr="00000000" w14:paraId="00000269">
      <w:pPr>
        <w:numPr>
          <w:ilvl w:val="0"/>
          <w:numId w:val="5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utilisateurs peuvent importer ou exporter des données complémentaires non personnelles (ex : codes, bibliothèques ou résultats produits) dans leur espace d’analyse via un sas d’import/export. Toutes entrées ou sorties d’information via ce canal font l'objet d’une demande par les utilisateurs et d’une vérification par un référent des données du &lt; nom du responsable de traitement &gt;. </w:t>
      </w:r>
    </w:p>
    <w:p w:rsidR="00000000" w:rsidDel="00000000" w:rsidP="00000000" w:rsidRDefault="00000000" w:rsidRPr="00000000" w14:paraId="0000026A">
      <w:pPr>
        <w:numPr>
          <w:ilvl w:val="0"/>
          <w:numId w:val="5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Les opérateurs du &lt; nom du responsable de traitement &gt; assurent tous les 3 mois un suivi des indicateurs de performance, d’usage et de sécurité sur l’espace d’analyse</w:t>
      </w:r>
    </w:p>
    <w:p w:rsidR="00000000" w:rsidDel="00000000" w:rsidP="00000000" w:rsidRDefault="00000000" w:rsidRPr="00000000" w14:paraId="0000026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6C">
      <w:pPr>
        <w:spacing w:line="240" w:lineRule="auto"/>
        <w:ind w:right="-40.8661417322827"/>
        <w:jc w:val="both"/>
        <w:rPr>
          <w:rFonts w:ascii="Tahoma" w:cs="Tahoma" w:eastAsia="Tahoma" w:hAnsi="Tahoma"/>
          <w:u w:val="single"/>
        </w:rPr>
      </w:pPr>
      <w:r w:rsidDel="00000000" w:rsidR="00000000" w:rsidRPr="00000000">
        <w:rPr>
          <w:rFonts w:ascii="Tahoma" w:cs="Tahoma" w:eastAsia="Tahoma" w:hAnsi="Tahoma"/>
          <w:u w:val="single"/>
          <w:rtl w:val="0"/>
        </w:rPr>
        <w:t xml:space="preserve">Fin du projet :</w:t>
      </w:r>
    </w:p>
    <w:p w:rsidR="00000000" w:rsidDel="00000000" w:rsidP="00000000" w:rsidRDefault="00000000" w:rsidRPr="00000000" w14:paraId="0000026D">
      <w:pPr>
        <w:numPr>
          <w:ilvl w:val="0"/>
          <w:numId w:val="29"/>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A la fin du projet, l'espace d’analyse est décommissionné et les données archivées pour 12 mois avant suppression. </w:t>
      </w:r>
    </w:p>
    <w:p w:rsidR="00000000" w:rsidDel="00000000" w:rsidP="00000000" w:rsidRDefault="00000000" w:rsidRPr="00000000" w14:paraId="0000026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6F">
      <w:pPr>
        <w:numPr>
          <w:ilvl w:val="3"/>
          <w:numId w:val="7"/>
        </w:numPr>
        <w:ind w:left="2880" w:hanging="360"/>
        <w:rPr>
          <w:rFonts w:ascii="Tahoma" w:cs="Tahoma" w:eastAsia="Tahoma" w:hAnsi="Tahoma"/>
        </w:rPr>
      </w:pPr>
      <w:r w:rsidDel="00000000" w:rsidR="00000000" w:rsidRPr="00000000">
        <w:rPr>
          <w:rFonts w:ascii="Tahoma" w:cs="Tahoma" w:eastAsia="Tahoma" w:hAnsi="Tahoma"/>
          <w:rtl w:val="0"/>
        </w:rPr>
        <w:t xml:space="preserve">Accès sur un système fils</w:t>
      </w:r>
    </w:p>
    <w:p w:rsidR="00000000" w:rsidDel="00000000" w:rsidP="00000000" w:rsidRDefault="00000000" w:rsidRPr="00000000" w14:paraId="00000270">
      <w:pPr>
        <w:rPr>
          <w:rFonts w:ascii="Tahoma" w:cs="Tahoma" w:eastAsia="Tahoma" w:hAnsi="Tahoma"/>
        </w:rPr>
      </w:pPr>
      <w:r w:rsidDel="00000000" w:rsidR="00000000" w:rsidRPr="00000000">
        <w:rPr>
          <w:rtl w:val="0"/>
        </w:rPr>
      </w:r>
    </w:p>
    <w:p w:rsidR="00000000" w:rsidDel="00000000" w:rsidP="00000000" w:rsidRDefault="00000000" w:rsidRPr="00000000" w14:paraId="00000271">
      <w:pPr>
        <w:numPr>
          <w:ilvl w:val="0"/>
          <w:numId w:val="37"/>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transférées par un canal sécurisé en sortie de la plateforme technologique vers un système fils, sous réserve de la conformité de ce dernier à la réglementation applicable, notamment au référentiel de sécurité du SNDS, et de la conclusion préalable d’un contrat entre le destinataire et le &lt; nom du responsable de traitement &gt; qui précisera les modalités de transmission et de traitement des données du SNDS au sein d'un système fils SNDS.</w:t>
      </w:r>
    </w:p>
    <w:p w:rsidR="00000000" w:rsidDel="00000000" w:rsidP="00000000" w:rsidRDefault="00000000" w:rsidRPr="00000000" w14:paraId="00000272">
      <w:pPr>
        <w:numPr>
          <w:ilvl w:val="0"/>
          <w:numId w:val="37"/>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sensibles sont pseudonymisées à l’aide d’une clé générée spécifiquement pour le système fils.</w:t>
      </w:r>
    </w:p>
    <w:p w:rsidR="00000000" w:rsidDel="00000000" w:rsidP="00000000" w:rsidRDefault="00000000" w:rsidRPr="00000000" w14:paraId="00000273">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274">
      <w:pPr>
        <w:spacing w:line="240" w:lineRule="auto"/>
        <w:jc w:val="both"/>
        <w:rPr>
          <w:rFonts w:ascii="Tahoma" w:cs="Tahoma" w:eastAsia="Tahoma" w:hAnsi="Tahoma"/>
          <w:u w:val="single"/>
        </w:rPr>
      </w:pPr>
      <w:r w:rsidDel="00000000" w:rsidR="00000000" w:rsidRPr="00000000">
        <w:rPr>
          <w:rFonts w:ascii="Tahoma" w:cs="Tahoma" w:eastAsia="Tahoma" w:hAnsi="Tahoma"/>
          <w:u w:val="single"/>
          <w:rtl w:val="0"/>
        </w:rPr>
        <w:t xml:space="preserve">Mode de transfert</w:t>
      </w:r>
    </w:p>
    <w:p w:rsidR="00000000" w:rsidDel="00000000" w:rsidP="00000000" w:rsidRDefault="00000000" w:rsidRPr="00000000" w14:paraId="00000275">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t xml:space="preserve">Le transfert des données entre la plateforme technologique du &lt; nom du responsable de traitement &gt; et le système fils repose sur trois niveaux de chiffrement :</w:t>
      </w:r>
    </w:p>
    <w:p w:rsidR="00000000" w:rsidDel="00000000" w:rsidP="00000000" w:rsidRDefault="00000000" w:rsidRPr="00000000" w14:paraId="00000276">
      <w:pPr>
        <w:widowControl w:val="0"/>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Données signées et chiffrées par GPG</w:t>
      </w:r>
    </w:p>
    <w:p w:rsidR="00000000" w:rsidDel="00000000" w:rsidP="00000000" w:rsidRDefault="00000000" w:rsidRPr="00000000" w14:paraId="00000277">
      <w:pPr>
        <w:widowControl w:val="0"/>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Protocole de transfert sécurisé</w:t>
      </w:r>
    </w:p>
    <w:p w:rsidR="00000000" w:rsidDel="00000000" w:rsidP="00000000" w:rsidRDefault="00000000" w:rsidRPr="00000000" w14:paraId="00000278">
      <w:pPr>
        <w:widowControl w:val="0"/>
        <w:spacing w:line="240" w:lineRule="auto"/>
        <w:ind w:left="720" w:firstLine="0"/>
        <w:jc w:val="both"/>
        <w:rPr>
          <w:rFonts w:ascii="Tahoma" w:cs="Tahoma" w:eastAsia="Tahoma" w:hAnsi="Tahoma"/>
        </w:rPr>
      </w:pPr>
      <w:r w:rsidDel="00000000" w:rsidR="00000000" w:rsidRPr="00000000">
        <w:rPr>
          <w:rFonts w:ascii="Tahoma" w:cs="Tahoma" w:eastAsia="Tahoma" w:hAnsi="Tahoma"/>
          <w:rtl w:val="0"/>
        </w:rPr>
        <w:t xml:space="preserve">Les données sont déposées et récupérées sur un serveur SFTP, qui peut être hébergé par le &lt; nom du responsable de traitement &gt; ou par le système fils</w:t>
      </w:r>
    </w:p>
    <w:p w:rsidR="00000000" w:rsidDel="00000000" w:rsidP="00000000" w:rsidRDefault="00000000" w:rsidRPr="00000000" w14:paraId="00000279">
      <w:pPr>
        <w:widowControl w:val="0"/>
        <w:numPr>
          <w:ilvl w:val="0"/>
          <w:numId w:val="36"/>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Canal VPN</w:t>
      </w:r>
    </w:p>
    <w:p w:rsidR="00000000" w:rsidDel="00000000" w:rsidP="00000000" w:rsidRDefault="00000000" w:rsidRPr="00000000" w14:paraId="0000027A">
      <w:pPr>
        <w:widowControl w:val="0"/>
        <w:spacing w:line="240" w:lineRule="auto"/>
        <w:ind w:left="720" w:firstLine="0"/>
        <w:jc w:val="both"/>
        <w:rPr>
          <w:rFonts w:ascii="Tahoma" w:cs="Tahoma" w:eastAsia="Tahoma" w:hAnsi="Tahoma"/>
        </w:rPr>
      </w:pPr>
      <w:r w:rsidDel="00000000" w:rsidR="00000000" w:rsidRPr="00000000">
        <w:rPr>
          <w:rFonts w:ascii="Tahoma" w:cs="Tahoma" w:eastAsia="Tahoma" w:hAnsi="Tahoma"/>
          <w:rtl w:val="0"/>
        </w:rPr>
        <w:t xml:space="preserve">Le canal VPN peut être site-à-site ou point-à-site.</w:t>
      </w:r>
    </w:p>
    <w:p w:rsidR="00000000" w:rsidDel="00000000" w:rsidP="00000000" w:rsidRDefault="00000000" w:rsidRPr="00000000" w14:paraId="0000027B">
      <w:pPr>
        <w:widowControl w:val="0"/>
        <w:spacing w:line="240" w:lineRule="auto"/>
        <w:jc w:val="both"/>
        <w:rPr>
          <w:rFonts w:ascii="Tahoma" w:cs="Tahoma" w:eastAsia="Tahoma" w:hAnsi="Tahoma"/>
          <w:u w:val="single"/>
        </w:rPr>
      </w:pPr>
      <w:r w:rsidDel="00000000" w:rsidR="00000000" w:rsidRPr="00000000">
        <w:rPr>
          <w:rtl w:val="0"/>
        </w:rPr>
      </w:r>
    </w:p>
    <w:p w:rsidR="00000000" w:rsidDel="00000000" w:rsidP="00000000" w:rsidRDefault="00000000" w:rsidRPr="00000000" w14:paraId="0000027C">
      <w:pPr>
        <w:spacing w:line="240" w:lineRule="auto"/>
        <w:jc w:val="both"/>
        <w:rPr>
          <w:rFonts w:ascii="Tahoma" w:cs="Tahoma" w:eastAsia="Tahoma" w:hAnsi="Tahoma"/>
          <w:u w:val="single"/>
        </w:rPr>
      </w:pPr>
      <w:r w:rsidDel="00000000" w:rsidR="00000000" w:rsidRPr="00000000">
        <w:rPr>
          <w:rFonts w:ascii="Tahoma" w:cs="Tahoma" w:eastAsia="Tahoma" w:hAnsi="Tahoma"/>
          <w:u w:val="single"/>
          <w:rtl w:val="0"/>
        </w:rPr>
        <w:t xml:space="preserve">Protocole de transfert</w:t>
      </w:r>
    </w:p>
    <w:p w:rsidR="00000000" w:rsidDel="00000000" w:rsidP="00000000" w:rsidRDefault="00000000" w:rsidRPr="00000000" w14:paraId="0000027D">
      <w:pPr>
        <w:numPr>
          <w:ilvl w:val="0"/>
          <w:numId w:val="35"/>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signées par le &lt; nom du responsable de traitement &gt;</w:t>
      </w:r>
    </w:p>
    <w:p w:rsidR="00000000" w:rsidDel="00000000" w:rsidP="00000000" w:rsidRDefault="00000000" w:rsidRPr="00000000" w14:paraId="0000027E">
      <w:pPr>
        <w:numPr>
          <w:ilvl w:val="0"/>
          <w:numId w:val="35"/>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Si la volumétrie des données est importante, il est possible de compresser les données avec Gzip</w:t>
      </w:r>
    </w:p>
    <w:p w:rsidR="00000000" w:rsidDel="00000000" w:rsidP="00000000" w:rsidRDefault="00000000" w:rsidRPr="00000000" w14:paraId="0000027F">
      <w:pPr>
        <w:numPr>
          <w:ilvl w:val="0"/>
          <w:numId w:val="35"/>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chiffrées par le &lt; nom du responsable de traitement &gt;</w:t>
      </w:r>
    </w:p>
    <w:p w:rsidR="00000000" w:rsidDel="00000000" w:rsidP="00000000" w:rsidRDefault="00000000" w:rsidRPr="00000000" w14:paraId="00000280">
      <w:pPr>
        <w:numPr>
          <w:ilvl w:val="0"/>
          <w:numId w:val="35"/>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déposées par le &lt; nom du responsable de traitement &gt; sur le serveur SFTP</w:t>
      </w:r>
    </w:p>
    <w:p w:rsidR="00000000" w:rsidDel="00000000" w:rsidP="00000000" w:rsidRDefault="00000000" w:rsidRPr="00000000" w14:paraId="00000281">
      <w:pPr>
        <w:numPr>
          <w:ilvl w:val="0"/>
          <w:numId w:val="35"/>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Les données sont récupérées par le système fils depuis le serveur SFTP</w:t>
      </w:r>
    </w:p>
    <w:p w:rsidR="00000000" w:rsidDel="00000000" w:rsidP="00000000" w:rsidRDefault="00000000" w:rsidRPr="00000000" w14:paraId="0000028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8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84">
      <w:pPr>
        <w:pStyle w:val="Heading2"/>
        <w:spacing w:after="120" w:before="360" w:line="240" w:lineRule="auto"/>
        <w:ind w:right="-40.8661417322827"/>
        <w:rPr>
          <w:b w:val="0"/>
          <w:bCs w:val="0"/>
          <w:sz w:val="28"/>
          <w:szCs w:val="28"/>
        </w:rPr>
      </w:pPr>
      <w:bookmarkStart w:colFirst="0" w:colLast="0" w:name="_bva9jlgu82ka" w:id="37"/>
      <w:bookmarkEnd w:id="37"/>
      <w:r w:rsidDel="00000000" w:rsidR="00000000" w:rsidRPr="00000000">
        <w:rPr>
          <w:rtl w:val="0"/>
        </w:rPr>
      </w:r>
    </w:p>
    <w:p w:rsidR="00000000" w:rsidDel="00000000" w:rsidP="00000000" w:rsidRDefault="00000000" w:rsidRPr="00000000" w14:paraId="00000285">
      <w:pPr>
        <w:pStyle w:val="Heading1"/>
        <w:numPr>
          <w:ilvl w:val="0"/>
          <w:numId w:val="7"/>
        </w:numPr>
        <w:spacing w:after="120" w:lineRule="auto"/>
        <w:ind w:right="-40.8661417322827"/>
        <w:jc w:val="left"/>
        <w:rPr>
          <w:rFonts w:ascii="Tahoma" w:cs="Tahoma" w:eastAsia="Tahoma" w:hAnsi="Tahoma"/>
          <w:b w:val="1"/>
          <w:bCs w:val="1"/>
          <w:color w:val="036287"/>
          <w:sz w:val="36"/>
          <w:szCs w:val="36"/>
        </w:rPr>
      </w:pPr>
      <w:bookmarkStart w:colFirst="0" w:colLast="0" w:name="_u1d7n9yp44li" w:id="38"/>
      <w:bookmarkEnd w:id="38"/>
      <w:r w:rsidDel="00000000" w:rsidR="00000000" w:rsidRPr="00000000">
        <w:rPr>
          <w:sz w:val="36"/>
          <w:szCs w:val="36"/>
          <w:rtl w:val="0"/>
        </w:rPr>
        <w:t xml:space="preserve">Protection de la vie privée, sécurité et confidentialité des données</w:t>
      </w:r>
    </w:p>
    <w:p w:rsidR="00000000" w:rsidDel="00000000" w:rsidP="00000000" w:rsidRDefault="00000000" w:rsidRPr="00000000" w14:paraId="00000286">
      <w:pPr>
        <w:pStyle w:val="Heading2"/>
        <w:spacing w:after="120" w:before="360" w:line="240" w:lineRule="auto"/>
        <w:ind w:left="1440" w:right="-40.8661417322827" w:firstLine="720"/>
        <w:rPr>
          <w:b w:val="0"/>
          <w:bCs w:val="0"/>
          <w:sz w:val="28"/>
          <w:szCs w:val="28"/>
        </w:rPr>
      </w:pPr>
      <w:bookmarkStart w:colFirst="0" w:colLast="0" w:name="_91j2bl2ddr4c" w:id="39"/>
      <w:bookmarkEnd w:id="39"/>
      <w:r w:rsidDel="00000000" w:rsidR="00000000" w:rsidRPr="00000000">
        <w:rPr>
          <w:rtl w:val="0"/>
        </w:rPr>
      </w:r>
    </w:p>
    <w:p w:rsidR="00000000" w:rsidDel="00000000" w:rsidP="00000000" w:rsidRDefault="00000000" w:rsidRPr="00000000" w14:paraId="00000287">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hf7bwubfu9yp" w:id="40"/>
      <w:bookmarkEnd w:id="40"/>
      <w:r w:rsidDel="00000000" w:rsidR="00000000" w:rsidRPr="00000000">
        <w:rPr>
          <w:b w:val="0"/>
          <w:bCs w:val="0"/>
          <w:sz w:val="28"/>
          <w:szCs w:val="28"/>
          <w:rtl w:val="0"/>
        </w:rPr>
        <w:t xml:space="preserve">Respect des droits des personnes concernées</w:t>
      </w:r>
    </w:p>
    <w:p w:rsidR="00000000" w:rsidDel="00000000" w:rsidP="00000000" w:rsidRDefault="00000000" w:rsidRPr="00000000" w14:paraId="00000288">
      <w:pPr>
        <w:spacing w:line="240" w:lineRule="auto"/>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289">
      <w:pPr>
        <w:pStyle w:val="Heading3"/>
        <w:numPr>
          <w:ilvl w:val="2"/>
          <w:numId w:val="7"/>
        </w:numPr>
        <w:spacing w:after="80" w:before="320" w:line="240" w:lineRule="auto"/>
        <w:ind w:right="-40.8661417322827"/>
        <w:rPr>
          <w:rFonts w:ascii="Tahoma" w:cs="Tahoma" w:eastAsia="Tahoma" w:hAnsi="Tahoma"/>
          <w:color w:val="434343"/>
          <w:sz w:val="28"/>
          <w:szCs w:val="28"/>
        </w:rPr>
      </w:pPr>
      <w:bookmarkStart w:colFirst="0" w:colLast="0" w:name="_qohuwqxo4w6t" w:id="41"/>
      <w:bookmarkEnd w:id="41"/>
      <w:r w:rsidDel="00000000" w:rsidR="00000000" w:rsidRPr="00000000">
        <w:rPr>
          <w:color w:val="434343"/>
          <w:sz w:val="28"/>
          <w:szCs w:val="28"/>
          <w:u w:val="single"/>
          <w:rtl w:val="0"/>
        </w:rPr>
        <w:t xml:space="preserve">Information des personnes concernées (patients adultes et mineurs, titulaires de l’autorité parentale et professionnels de santé)</w:t>
      </w:r>
    </w:p>
    <w:p w:rsidR="00000000" w:rsidDel="00000000" w:rsidP="00000000" w:rsidRDefault="00000000" w:rsidRPr="00000000" w14:paraId="0000028A">
      <w:pPr>
        <w:ind w:left="2160" w:firstLine="0"/>
        <w:rPr>
          <w:rFonts w:ascii="Tahoma" w:cs="Tahoma" w:eastAsia="Tahoma" w:hAnsi="Tahoma"/>
        </w:rPr>
      </w:pPr>
      <w:r w:rsidDel="00000000" w:rsidR="00000000" w:rsidRPr="00000000">
        <w:rPr>
          <w:rtl w:val="0"/>
        </w:rPr>
      </w:r>
    </w:p>
    <w:p w:rsidR="00000000" w:rsidDel="00000000" w:rsidP="00000000" w:rsidRDefault="00000000" w:rsidRPr="00000000" w14:paraId="0000028B">
      <w:pPr>
        <w:pStyle w:val="Heading3"/>
        <w:numPr>
          <w:ilvl w:val="3"/>
          <w:numId w:val="7"/>
        </w:numPr>
        <w:spacing w:after="80" w:before="320" w:line="240" w:lineRule="auto"/>
        <w:ind w:left="2880" w:right="-40.8661417322827" w:hanging="360"/>
        <w:rPr>
          <w:rFonts w:ascii="Tahoma" w:cs="Tahoma" w:eastAsia="Tahoma" w:hAnsi="Tahoma"/>
          <w:color w:val="434343"/>
          <w:sz w:val="28"/>
          <w:szCs w:val="28"/>
        </w:rPr>
      </w:pPr>
      <w:bookmarkStart w:colFirst="0" w:colLast="0" w:name="_jb2jlwxnhek8" w:id="42"/>
      <w:bookmarkEnd w:id="42"/>
      <w:r w:rsidDel="00000000" w:rsidR="00000000" w:rsidRPr="00000000">
        <w:rPr>
          <w:color w:val="434343"/>
          <w:sz w:val="28"/>
          <w:szCs w:val="28"/>
          <w:u w:val="single"/>
          <w:rtl w:val="0"/>
        </w:rPr>
        <w:t xml:space="preserve">Modalités générales d’information des personnes concernées par les données cliniques appariées à la base principale du SNDS</w:t>
      </w:r>
    </w:p>
    <w:p w:rsidR="00000000" w:rsidDel="00000000" w:rsidP="00000000" w:rsidRDefault="00000000" w:rsidRPr="00000000" w14:paraId="0000028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8D">
      <w:pPr>
        <w:numPr>
          <w:ilvl w:val="0"/>
          <w:numId w:val="33"/>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Information des patients adultes et mineurs et titulaires de l’autorité parentale des patients mineurs</w:t>
      </w:r>
      <w:r w:rsidDel="00000000" w:rsidR="00000000" w:rsidRPr="00000000">
        <w:rPr>
          <w:rFonts w:ascii="Tahoma" w:cs="Tahoma" w:eastAsia="Tahoma" w:hAnsi="Tahoma"/>
          <w:rtl w:val="0"/>
        </w:rPr>
        <w:t xml:space="preserve"> :</w:t>
      </w:r>
    </w:p>
    <w:p w:rsidR="00000000" w:rsidDel="00000000" w:rsidP="00000000" w:rsidRDefault="00000000" w:rsidRPr="00000000" w14:paraId="0000028E">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br w:type="textWrapping"/>
        <w:t xml:space="preserve">Les patients adultes et mineurs concernés par les données de l’EDS seront informés de manière individuelle et collective que les données collectées lors de leur prise en charge sont versées dans l’EDS et appariées avec les données de la base principale du SNDS. </w:t>
      </w:r>
    </w:p>
    <w:p w:rsidR="00000000" w:rsidDel="00000000" w:rsidP="00000000" w:rsidRDefault="00000000" w:rsidRPr="00000000" w14:paraId="0000028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L’information est écrite et comporte toutes les mentions d’information de l’</w:t>
      </w:r>
      <w:hyperlink r:id="rId21">
        <w:r w:rsidDel="00000000" w:rsidR="00000000" w:rsidRPr="00000000">
          <w:rPr>
            <w:rFonts w:ascii="Tahoma" w:cs="Tahoma" w:eastAsia="Tahoma" w:hAnsi="Tahoma"/>
            <w:color w:val="1155cc"/>
            <w:u w:val="single"/>
            <w:rtl w:val="0"/>
          </w:rPr>
          <w:t xml:space="preserve">article 14 du RGPD</w:t>
        </w:r>
      </w:hyperlink>
      <w:r w:rsidDel="00000000" w:rsidR="00000000" w:rsidRPr="00000000">
        <w:rPr>
          <w:rFonts w:ascii="Tahoma" w:cs="Tahoma" w:eastAsia="Tahoma" w:hAnsi="Tahoma"/>
          <w:rtl w:val="0"/>
        </w:rPr>
        <w:t xml:space="preserve">. La note d’information délivrée aux patients adultes, testée auprès d’une association de patients, est disponible en annexe 4.1.</w:t>
      </w:r>
    </w:p>
    <w:p w:rsidR="00000000" w:rsidDel="00000000" w:rsidP="00000000" w:rsidRDefault="00000000" w:rsidRPr="00000000" w14:paraId="0000029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Pour le cas particulier des mineurs dont des données pourraient être versées dans l’EDS, ces derniers recevront une note d’information adaptée et testée auprès d’un groupe d’enfants disponible en annexe 4.2. Les titulaires de l’autorité parentale des patients mineurs seront également informés selon la note d’information disponible en annexe 4.3. Seules les données des patients mineurs dont les deux titulaires de l’autorité parentale pourront être informés seront versées dans l’EDS.</w:t>
      </w:r>
    </w:p>
    <w:p w:rsidR="00000000" w:rsidDel="00000000" w:rsidP="00000000" w:rsidRDefault="00000000" w:rsidRPr="00000000" w14:paraId="0000029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Chaque établissement de santé informera individuellement l’ensemble des personnes (patients adultes, patients mineurs et titulaires de l’autorité parentale des patients mineurs) selon des modalités propres à chaque établissement qui sont décrites au point 5.1.1.2. L’information collective sera assurée par le &lt; nom du responsable de traitement &gt; via le portail de transparence mentionné au point 5.1.3.3 et via une campagne d’information générale.</w:t>
      </w:r>
    </w:p>
    <w:p w:rsidR="00000000" w:rsidDel="00000000" w:rsidP="00000000" w:rsidRDefault="00000000" w:rsidRPr="00000000" w14:paraId="0000029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6">
      <w:pPr>
        <w:numPr>
          <w:ilvl w:val="0"/>
          <w:numId w:val="59"/>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Information des professionnels de santé</w:t>
      </w:r>
      <w:r w:rsidDel="00000000" w:rsidR="00000000" w:rsidRPr="00000000">
        <w:rPr>
          <w:rFonts w:ascii="Tahoma" w:cs="Tahoma" w:eastAsia="Tahoma" w:hAnsi="Tahoma"/>
          <w:rtl w:val="0"/>
        </w:rPr>
        <w:t xml:space="preserve"> :</w:t>
      </w:r>
    </w:p>
    <w:p w:rsidR="00000000" w:rsidDel="00000000" w:rsidP="00000000" w:rsidRDefault="00000000" w:rsidRPr="00000000" w14:paraId="0000029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br w:type="textWrapping"/>
        <w:t xml:space="preserve">Chaque établissement de santé informera individuellement les professionnels de santé exerçant au sein de l’établissement pendant ou postérieurement à la mise en œuvre de l’EDS.</w:t>
      </w:r>
    </w:p>
    <w:p w:rsidR="00000000" w:rsidDel="00000000" w:rsidP="00000000" w:rsidRDefault="00000000" w:rsidRPr="00000000" w14:paraId="0000029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Cette information s’opérera au moment de la collecte de leurs données, au moyen d’une note d’information comportant tous les éléments de l’</w:t>
      </w:r>
      <w:hyperlink r:id="rId22">
        <w:r w:rsidDel="00000000" w:rsidR="00000000" w:rsidRPr="00000000">
          <w:rPr>
            <w:rFonts w:ascii="Tahoma" w:cs="Tahoma" w:eastAsia="Tahoma" w:hAnsi="Tahoma"/>
            <w:color w:val="1155cc"/>
            <w:u w:val="single"/>
            <w:rtl w:val="0"/>
          </w:rPr>
          <w:t xml:space="preserve">article 14 du RGPD</w:t>
        </w:r>
      </w:hyperlink>
      <w:r w:rsidDel="00000000" w:rsidR="00000000" w:rsidRPr="00000000">
        <w:rPr>
          <w:rFonts w:ascii="Tahoma" w:cs="Tahoma" w:eastAsia="Tahoma" w:hAnsi="Tahoma"/>
          <w:rtl w:val="0"/>
        </w:rPr>
        <w:t xml:space="preserve"> et remise selon des modalités propres à chaque établissement qui sont décrites au point 5.1.1.2. La note d’information délivrée aux professionnels est disponible en annexe 4.4.</w:t>
      </w:r>
    </w:p>
    <w:p w:rsidR="00000000" w:rsidDel="00000000" w:rsidP="00000000" w:rsidRDefault="00000000" w:rsidRPr="00000000" w14:paraId="0000029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9B">
      <w:pPr>
        <w:spacing w:line="240" w:lineRule="auto"/>
        <w:ind w:right="-40.8661417322827"/>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29C">
      <w:pPr>
        <w:pStyle w:val="Heading4"/>
        <w:numPr>
          <w:ilvl w:val="3"/>
          <w:numId w:val="7"/>
        </w:numPr>
        <w:ind w:left="2880" w:right="-40.8661417322827" w:hanging="360"/>
        <w:rPr>
          <w:rFonts w:ascii="Tahoma" w:cs="Tahoma" w:eastAsia="Tahoma" w:hAnsi="Tahoma"/>
          <w:color w:val="666666"/>
          <w:sz w:val="24"/>
          <w:szCs w:val="24"/>
        </w:rPr>
      </w:pPr>
      <w:bookmarkStart w:colFirst="0" w:colLast="0" w:name="_f0t35lz9oerz" w:id="43"/>
      <w:bookmarkEnd w:id="43"/>
      <w:r w:rsidDel="00000000" w:rsidR="00000000" w:rsidRPr="00000000">
        <w:rPr>
          <w:rFonts w:ascii="Tahoma" w:cs="Tahoma" w:eastAsia="Tahoma" w:hAnsi="Tahoma"/>
          <w:rtl w:val="0"/>
        </w:rPr>
        <w:t xml:space="preserve">Modalités de délivrance de l’information des personnes concernés par les données cliniques appariées à la base principale du SNDS propres à chaque établissement de santé </w:t>
      </w:r>
    </w:p>
    <w:p w:rsidR="00000000" w:rsidDel="00000000" w:rsidP="00000000" w:rsidRDefault="00000000" w:rsidRPr="00000000" w14:paraId="0000029D">
      <w:pPr>
        <w:spacing w:line="240" w:lineRule="auto"/>
        <w:ind w:right="-40.8661417322827"/>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29E">
      <w:pPr>
        <w:numPr>
          <w:ilvl w:val="0"/>
          <w:numId w:val="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Délivrance de l’information par le &lt; nom de l’établissement de santé &gt;:</w:t>
      </w:r>
    </w:p>
    <w:p w:rsidR="00000000" w:rsidDel="00000000" w:rsidP="00000000" w:rsidRDefault="00000000" w:rsidRPr="00000000" w14:paraId="0000029F">
      <w:pPr>
        <w:numPr>
          <w:ilvl w:val="1"/>
          <w:numId w:val="2"/>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patients mineurs et adultes</w:t>
      </w:r>
    </w:p>
    <w:p w:rsidR="00000000" w:rsidDel="00000000" w:rsidP="00000000" w:rsidRDefault="00000000" w:rsidRPr="00000000" w14:paraId="000002A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1">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nouveaux patients et les patients en cours de suivi seront informés individuellement par la remise en main propre de la note d’information par l’investigateur en charge du patient au moment de leur visite dans l’établissement. Ils seront également informés par le biais du livret d’accueil patient remis lors de leur hospitalisation et par voie d’affichage dans les locaux des établissements.</w:t>
      </w:r>
    </w:p>
    <w:p w:rsidR="00000000" w:rsidDel="00000000" w:rsidP="00000000" w:rsidRDefault="00000000" w:rsidRPr="00000000" w14:paraId="000002A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patients n’étant plus suivis et ayant une adresse mail renseignée seront informés par mail avec accusé de réception.</w:t>
      </w:r>
    </w:p>
    <w:p w:rsidR="00000000" w:rsidDel="00000000" w:rsidP="00000000" w:rsidRDefault="00000000" w:rsidRPr="00000000" w14:paraId="000002A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4">
      <w:pPr>
        <w:numPr>
          <w:ilvl w:val="0"/>
          <w:numId w:val="4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titulaires de l’autorité parentale des patients mineurs</w:t>
      </w:r>
    </w:p>
    <w:p w:rsidR="00000000" w:rsidDel="00000000" w:rsidP="00000000" w:rsidRDefault="00000000" w:rsidRPr="00000000" w14:paraId="000002A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br w:type="textWrapping"/>
        <w:t xml:space="preserve">Les titulaires de l’autorité parentale des nouveaux patients mineurs et patients mineurs en cours de suivi seront informés par la remise en main propre de la note d’information au moment de leur visite dans l’établissement. Si l’un ou les deux titulaires n’est pas présent, il sera informé par mail avec accusé de réception.</w:t>
      </w:r>
    </w:p>
    <w:p w:rsidR="00000000" w:rsidDel="00000000" w:rsidP="00000000" w:rsidRDefault="00000000" w:rsidRPr="00000000" w14:paraId="000002A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titulaires de l’autorité parentale des patients mineurs n’étant plus suivis seront informés par mail avec accusé de réception sous réserve que leurs coordonnées soient disponibles. A défaut, les données du patient mineur concerné ne seront pas versées dans l’EDS.</w:t>
      </w:r>
    </w:p>
    <w:p w:rsidR="00000000" w:rsidDel="00000000" w:rsidP="00000000" w:rsidRDefault="00000000" w:rsidRPr="00000000" w14:paraId="000002A7">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8">
      <w:pPr>
        <w:numPr>
          <w:ilvl w:val="0"/>
          <w:numId w:val="4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professionnels de santé : </w:t>
      </w:r>
    </w:p>
    <w:p w:rsidR="00000000" w:rsidDel="00000000" w:rsidP="00000000" w:rsidRDefault="00000000" w:rsidRPr="00000000" w14:paraId="000002A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A">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personnel salarié des HCL seront informés individuellement par un courrier postal joint au bulletin de paie ou au contrat d’embauche. Une information générale ainsi qu’une information en Commission Médicale d’Etablissement (CME) seront réalisées et diffusées à tous les professionnels via des canaux de communication internes : site Intranet, lettres bimensuelles d’information par mail et Revue interne .</w:t>
      </w:r>
    </w:p>
    <w:p w:rsidR="00000000" w:rsidDel="00000000" w:rsidP="00000000" w:rsidRDefault="00000000" w:rsidRPr="00000000" w14:paraId="000002A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C">
      <w:pPr>
        <w:numPr>
          <w:ilvl w:val="0"/>
          <w:numId w:val="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Délivrance de l’information par le &lt; nom de l’établissement de santé &gt;:</w:t>
      </w:r>
    </w:p>
    <w:p w:rsidR="00000000" w:rsidDel="00000000" w:rsidP="00000000" w:rsidRDefault="00000000" w:rsidRPr="00000000" w14:paraId="000002A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AE">
      <w:pPr>
        <w:numPr>
          <w:ilvl w:val="0"/>
          <w:numId w:val="2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patients mineurs et adultes</w:t>
      </w:r>
    </w:p>
    <w:p w:rsidR="00000000" w:rsidDel="00000000" w:rsidP="00000000" w:rsidRDefault="00000000" w:rsidRPr="00000000" w14:paraId="000002A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B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L’ensemble des patients sera informé individuellement par une note d’information intégrée dans le livret d’accueil remis en main propre au patient hospitalisé. Les patients hospitalisés entre le 1er janvier 2023 et la date d’intégration de l’information dans le livret d’accueil recevront une note d’information individuelle par courrier.</w:t>
      </w:r>
    </w:p>
    <w:p w:rsidR="00000000" w:rsidDel="00000000" w:rsidP="00000000" w:rsidRDefault="00000000" w:rsidRPr="00000000" w14:paraId="000002B1">
      <w:pPr>
        <w:spacing w:line="240" w:lineRule="auto"/>
        <w:ind w:right="-40.8661417322827"/>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2B2">
      <w:pPr>
        <w:numPr>
          <w:ilvl w:val="0"/>
          <w:numId w:val="4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titulaires de l’autorité parentale des patients mineurs </w:t>
      </w:r>
    </w:p>
    <w:p w:rsidR="00000000" w:rsidDel="00000000" w:rsidP="00000000" w:rsidRDefault="00000000" w:rsidRPr="00000000" w14:paraId="000002B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B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titulaires de l’autorité parentale des nouveaux patients mineurs et patients mineurs en cours de suivi seront informés par une note d’information intégrée dans le livret d’accueil remis en main propre au patient mineur hospitalisé. Si l’un ou les deux titulaires n’est pas présent, il sera informé par courrier.</w:t>
      </w:r>
    </w:p>
    <w:p w:rsidR="00000000" w:rsidDel="00000000" w:rsidP="00000000" w:rsidRDefault="00000000" w:rsidRPr="00000000" w14:paraId="000002B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titulaires de l’autorité parentale des patients mineurs hospitalisés entre le 1er janvier 2023 et la date d’intégration de l’information dans le livret d’accueil seront informés par courriel. </w:t>
      </w:r>
    </w:p>
    <w:p w:rsidR="00000000" w:rsidDel="00000000" w:rsidP="00000000" w:rsidRDefault="00000000" w:rsidRPr="00000000" w14:paraId="000002B6">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B7">
      <w:pPr>
        <w:numPr>
          <w:ilvl w:val="0"/>
          <w:numId w:val="2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professionnels de santé</w:t>
      </w:r>
    </w:p>
    <w:p w:rsidR="00000000" w:rsidDel="00000000" w:rsidP="00000000" w:rsidRDefault="00000000" w:rsidRPr="00000000" w14:paraId="000002B8">
      <w:pPr>
        <w:spacing w:line="240" w:lineRule="auto"/>
        <w:ind w:right="-40.8661417322827"/>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2B9">
      <w:pPr>
        <w:spacing w:line="240" w:lineRule="auto"/>
        <w:jc w:val="both"/>
        <w:rPr>
          <w:rFonts w:ascii="Tahoma" w:cs="Tahoma" w:eastAsia="Tahoma" w:hAnsi="Tahoma"/>
        </w:rPr>
      </w:pPr>
      <w:r w:rsidDel="00000000" w:rsidR="00000000" w:rsidRPr="00000000">
        <w:rPr>
          <w:rFonts w:ascii="Tahoma" w:cs="Tahoma" w:eastAsia="Tahoma" w:hAnsi="Tahoma"/>
          <w:rtl w:val="0"/>
        </w:rPr>
        <w:t xml:space="preserve">L’information individuelle sera diffusée en commission ou en conférence médicale d’établissement, sur l’intranet de celui-ci et à l’aide d’affiches dans les lieux de repos des personnels.</w:t>
      </w:r>
    </w:p>
    <w:p w:rsidR="00000000" w:rsidDel="00000000" w:rsidP="00000000" w:rsidRDefault="00000000" w:rsidRPr="00000000" w14:paraId="000002BA">
      <w:pPr>
        <w:spacing w:line="240" w:lineRule="auto"/>
        <w:rPr>
          <w:rFonts w:ascii="Georgia" w:cs="Georgia" w:eastAsia="Georgia" w:hAnsi="Georgia"/>
          <w:sz w:val="20"/>
          <w:szCs w:val="20"/>
        </w:rPr>
      </w:pPr>
      <w:r w:rsidDel="00000000" w:rsidR="00000000" w:rsidRPr="00000000">
        <w:rPr>
          <w:rtl w:val="0"/>
        </w:rPr>
      </w:r>
    </w:p>
    <w:p w:rsidR="00000000" w:rsidDel="00000000" w:rsidP="00000000" w:rsidRDefault="00000000" w:rsidRPr="00000000" w14:paraId="000002BB">
      <w:pPr>
        <w:numPr>
          <w:ilvl w:val="0"/>
          <w:numId w:val="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Délivrance de l’information par le &lt; nom de l’établissement de santé &gt;:</w:t>
      </w:r>
    </w:p>
    <w:p w:rsidR="00000000" w:rsidDel="00000000" w:rsidP="00000000" w:rsidRDefault="00000000" w:rsidRPr="00000000" w14:paraId="000002BC">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BD">
      <w:pPr>
        <w:numPr>
          <w:ilvl w:val="1"/>
          <w:numId w:val="2"/>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patients mineurs et adultes</w:t>
      </w:r>
    </w:p>
    <w:p w:rsidR="00000000" w:rsidDel="00000000" w:rsidP="00000000" w:rsidRDefault="00000000" w:rsidRPr="00000000" w14:paraId="000002BE">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BF">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L’ensemble des patients sera informé individuellement par une note d’information intégrée au portail de transparence X, à l’image du dispositif d’information prévu dans la MR004. En effet, les patients ont reçu une note d’information individuelle au moment de la collecte des données lors de la prise en charge au &lt; nom de l’établissement de santé &gt; détaillant : </w:t>
      </w:r>
    </w:p>
    <w:p w:rsidR="00000000" w:rsidDel="00000000" w:rsidP="00000000" w:rsidRDefault="00000000" w:rsidRPr="00000000" w14:paraId="000002C0">
      <w:pPr>
        <w:numPr>
          <w:ilvl w:val="0"/>
          <w:numId w:val="6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la possible réutilisation de ces données à des fins de recherche </w:t>
      </w:r>
    </w:p>
    <w:p w:rsidR="00000000" w:rsidDel="00000000" w:rsidP="00000000" w:rsidRDefault="00000000" w:rsidRPr="00000000" w14:paraId="000002C1">
      <w:pPr>
        <w:numPr>
          <w:ilvl w:val="0"/>
          <w:numId w:val="6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et l‘existence du portail de transparence Unicancer/Mesdonnées auxquels les patients peuvent se reporter pour consulter les recherches réalisées sur leurs données.</w:t>
      </w:r>
    </w:p>
    <w:p w:rsidR="00000000" w:rsidDel="00000000" w:rsidP="00000000" w:rsidRDefault="00000000" w:rsidRPr="00000000" w14:paraId="000002C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Ils pourront ainsi prendre connaissance de l’information relative à &lt; nom de l'entrepôt &gt; par ce dispositif. </w:t>
      </w:r>
    </w:p>
    <w:p w:rsidR="00000000" w:rsidDel="00000000" w:rsidP="00000000" w:rsidRDefault="00000000" w:rsidRPr="00000000" w14:paraId="000002C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4">
      <w:pPr>
        <w:numPr>
          <w:ilvl w:val="0"/>
          <w:numId w:val="4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titulaires de l’autorité parentale des patients mineurs </w:t>
      </w:r>
    </w:p>
    <w:p w:rsidR="00000000" w:rsidDel="00000000" w:rsidP="00000000" w:rsidRDefault="00000000" w:rsidRPr="00000000" w14:paraId="000002C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titulaires de l’autorité parentale des patients mineurs seront informés par une note d’information intégrée au portail de transparence &lt; nom du portail de transparence &gt;.</w:t>
      </w:r>
    </w:p>
    <w:p w:rsidR="00000000" w:rsidDel="00000000" w:rsidP="00000000" w:rsidRDefault="00000000" w:rsidRPr="00000000" w14:paraId="000002C7">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8">
      <w:pPr>
        <w:numPr>
          <w:ilvl w:val="1"/>
          <w:numId w:val="2"/>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professionnels</w:t>
      </w:r>
    </w:p>
    <w:p w:rsidR="00000000" w:rsidDel="00000000" w:rsidP="00000000" w:rsidRDefault="00000000" w:rsidRPr="00000000" w14:paraId="000002C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A">
      <w:pPr>
        <w:spacing w:line="240" w:lineRule="auto"/>
        <w:jc w:val="both"/>
        <w:rPr>
          <w:rFonts w:ascii="Tahoma" w:cs="Tahoma" w:eastAsia="Tahoma" w:hAnsi="Tahoma"/>
        </w:rPr>
      </w:pPr>
      <w:r w:rsidDel="00000000" w:rsidR="00000000" w:rsidRPr="00000000">
        <w:rPr>
          <w:rFonts w:ascii="Tahoma" w:cs="Tahoma" w:eastAsia="Tahoma" w:hAnsi="Tahoma"/>
          <w:rtl w:val="0"/>
        </w:rPr>
        <w:t xml:space="preserve">L’information individuelle sera diffusée en commission ou en conférence médicale d’établissement, sur l’intranet de celui-ci et à l’aide d’affiches dans les lieux de repos des personnels.</w:t>
      </w:r>
    </w:p>
    <w:p w:rsidR="00000000" w:rsidDel="00000000" w:rsidP="00000000" w:rsidRDefault="00000000" w:rsidRPr="00000000" w14:paraId="000002C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C">
      <w:pPr>
        <w:numPr>
          <w:ilvl w:val="0"/>
          <w:numId w:val="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Délivrance de l’information par &lt; nom de l’établissement de santé &gt;:</w:t>
      </w:r>
    </w:p>
    <w:p w:rsidR="00000000" w:rsidDel="00000000" w:rsidP="00000000" w:rsidRDefault="00000000" w:rsidRPr="00000000" w14:paraId="000002C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CE">
      <w:pPr>
        <w:numPr>
          <w:ilvl w:val="0"/>
          <w:numId w:val="5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patients mineurs et adultes</w:t>
      </w:r>
    </w:p>
    <w:p w:rsidR="00000000" w:rsidDel="00000000" w:rsidP="00000000" w:rsidRDefault="00000000" w:rsidRPr="00000000" w14:paraId="000002CF">
      <w:pPr>
        <w:spacing w:line="240" w:lineRule="auto"/>
        <w:ind w:right="-40.8661417322827"/>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2D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L’ensemble des patients sera informé individuellement par une note d’information transmise par courriel. Les nouveaux patients seront également informés par la remise d’une note d’information en main propre à l’accueil par le clinicien.</w:t>
      </w:r>
    </w:p>
    <w:p w:rsidR="00000000" w:rsidDel="00000000" w:rsidP="00000000" w:rsidRDefault="00000000" w:rsidRPr="00000000" w14:paraId="000002D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D2">
      <w:pPr>
        <w:numPr>
          <w:ilvl w:val="0"/>
          <w:numId w:val="40"/>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titulaires de l’autorité parentale des patients mineurs </w:t>
      </w:r>
    </w:p>
    <w:p w:rsidR="00000000" w:rsidDel="00000000" w:rsidP="00000000" w:rsidRDefault="00000000" w:rsidRPr="00000000" w14:paraId="000002D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D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titulaires de l’autorité parentale des patients mineurs seront informés par une note d’information transmise par courriel. Les titulaires de l’autorité parentale des nouveaux patients mineurs seront également informés par la remise d’une note d’information en main propre à l’accueil par le clinicien. </w:t>
      </w:r>
    </w:p>
    <w:p w:rsidR="00000000" w:rsidDel="00000000" w:rsidP="00000000" w:rsidRDefault="00000000" w:rsidRPr="00000000" w14:paraId="000002D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 </w:t>
      </w:r>
    </w:p>
    <w:p w:rsidR="00000000" w:rsidDel="00000000" w:rsidP="00000000" w:rsidRDefault="00000000" w:rsidRPr="00000000" w14:paraId="000002D6">
      <w:pPr>
        <w:numPr>
          <w:ilvl w:val="0"/>
          <w:numId w:val="57"/>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Pour les professionnels de santé</w:t>
        <w:tab/>
      </w:r>
    </w:p>
    <w:p w:rsidR="00000000" w:rsidDel="00000000" w:rsidP="00000000" w:rsidRDefault="00000000" w:rsidRPr="00000000" w14:paraId="000002D7">
      <w:pPr>
        <w:spacing w:line="240" w:lineRule="auto"/>
        <w:ind w:right="-40.8661417322827"/>
        <w:jc w:val="both"/>
        <w:rPr>
          <w:rFonts w:ascii="Tahoma" w:cs="Tahoma" w:eastAsia="Tahoma" w:hAnsi="Tahoma"/>
          <w:highlight w:val="yellow"/>
        </w:rPr>
      </w:pPr>
      <w:r w:rsidDel="00000000" w:rsidR="00000000" w:rsidRPr="00000000">
        <w:rPr>
          <w:rtl w:val="0"/>
        </w:rPr>
      </w:r>
    </w:p>
    <w:p w:rsidR="00000000" w:rsidDel="00000000" w:rsidP="00000000" w:rsidRDefault="00000000" w:rsidRPr="00000000" w14:paraId="000002D8">
      <w:pPr>
        <w:shd w:fill="ffffff" w:val="clea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L’information des professionnels sera assurée en commission médicale d’établissement. </w:t>
      </w:r>
    </w:p>
    <w:p w:rsidR="00000000" w:rsidDel="00000000" w:rsidP="00000000" w:rsidRDefault="00000000" w:rsidRPr="00000000" w14:paraId="000002D9">
      <w:pPr>
        <w:rPr>
          <w:rFonts w:ascii="Tahoma" w:cs="Tahoma" w:eastAsia="Tahoma" w:hAnsi="Tahoma"/>
        </w:rPr>
      </w:pPr>
      <w:r w:rsidDel="00000000" w:rsidR="00000000" w:rsidRPr="00000000">
        <w:rPr>
          <w:rtl w:val="0"/>
        </w:rPr>
      </w:r>
    </w:p>
    <w:p w:rsidR="00000000" w:rsidDel="00000000" w:rsidP="00000000" w:rsidRDefault="00000000" w:rsidRPr="00000000" w14:paraId="000002DA">
      <w:pPr>
        <w:pStyle w:val="Heading4"/>
        <w:numPr>
          <w:ilvl w:val="0"/>
          <w:numId w:val="60"/>
        </w:numPr>
        <w:ind w:left="2160" w:hanging="360"/>
        <w:rPr>
          <w:rFonts w:ascii="Tahoma" w:cs="Tahoma" w:eastAsia="Tahoma" w:hAnsi="Tahoma"/>
          <w:color w:val="666666"/>
        </w:rPr>
      </w:pPr>
      <w:bookmarkStart w:colFirst="0" w:colLast="0" w:name="_cwiqs73dcsza" w:id="44"/>
      <w:bookmarkEnd w:id="44"/>
      <w:r w:rsidDel="00000000" w:rsidR="00000000" w:rsidRPr="00000000">
        <w:rPr>
          <w:rFonts w:ascii="Tahoma" w:cs="Tahoma" w:eastAsia="Tahoma" w:hAnsi="Tahoma"/>
          <w:rtl w:val="0"/>
        </w:rPr>
        <w:t xml:space="preserve">Modalités d’information des personnes concernées par les données de la base principale du SNDS seule (population témoin) </w:t>
      </w:r>
    </w:p>
    <w:p w:rsidR="00000000" w:rsidDel="00000000" w:rsidP="00000000" w:rsidRDefault="00000000" w:rsidRPr="00000000" w14:paraId="000002D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br w:type="textWrapping"/>
        <w:t xml:space="preserve">Le &lt; nom du responsable de traitement &gt; mettra en œuvre un portail de transparence sur les EDS dynamique et accessible sur son site web. Ce portail référencera le &lt; nom de l'entrepôt &gt; </w:t>
      </w:r>
      <w:r w:rsidDel="00000000" w:rsidR="00000000" w:rsidRPr="00000000">
        <w:rPr>
          <w:rFonts w:ascii="Tahoma" w:cs="Tahoma" w:eastAsia="Tahoma" w:hAnsi="Tahoma"/>
          <w:highlight w:val="white"/>
          <w:rtl w:val="0"/>
        </w:rPr>
        <w:t xml:space="preserve">et renverra vers les informations de l’article 14 du RGPD propres à chaque projet de recherche portant sur les données qu’il contient</w:t>
      </w:r>
      <w:r w:rsidDel="00000000" w:rsidR="00000000" w:rsidRPr="00000000">
        <w:rPr>
          <w:rFonts w:ascii="Tahoma" w:cs="Tahoma" w:eastAsia="Tahoma" w:hAnsi="Tahoma"/>
          <w:rtl w:val="0"/>
        </w:rPr>
        <w:t xml:space="preserve">. Ainsi, les personnes concernées par ces recherches en seront informées, préalablement à leur mise en œuvre quels qu’en soient les responsables de traitement. </w:t>
      </w:r>
    </w:p>
    <w:p w:rsidR="00000000" w:rsidDel="00000000" w:rsidP="00000000" w:rsidRDefault="00000000" w:rsidRPr="00000000" w14:paraId="000002D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Seront en outre accessibles via ce portail de transparence, les notes d’informations collective conformes à l’article 14 du RGPD à destination des patients mineurs et adultes, des titulaires de l’autorité parentale et des professionnels de santé concernés par les données de la base principale du SNDS seule (population témoin). Ces notes d’information sont disponibles en annexes 4.5, 4.6, 4.7 et 4.8.</w:t>
        <w:br w:type="textWrapping"/>
      </w:r>
      <w:r w:rsidDel="00000000" w:rsidR="00000000" w:rsidRPr="00000000">
        <w:rPr>
          <w:rFonts w:ascii="Tahoma" w:cs="Tahoma" w:eastAsia="Tahoma" w:hAnsi="Tahoma"/>
          <w:highlight w:val="white"/>
          <w:rtl w:val="0"/>
        </w:rPr>
        <w:t xml:space="preserve">Par ailleurs, l’ensemble des études réalisées sur les données de &lt; nom de l'entrepôt &gt; seront inscrites dans le répertoire public des projets du &lt; nom du responsable de traitement &gt; ;</w:t>
      </w:r>
      <w:r w:rsidDel="00000000" w:rsidR="00000000" w:rsidRPr="00000000">
        <w:rPr>
          <w:rFonts w:ascii="Roboto" w:cs="Roboto" w:eastAsia="Roboto" w:hAnsi="Roboto"/>
          <w:color w:val="3c4043"/>
          <w:sz w:val="21"/>
          <w:szCs w:val="21"/>
          <w:highlight w:val="white"/>
          <w:rtl w:val="0"/>
        </w:rPr>
        <w:t xml:space="preserve"> </w:t>
      </w:r>
      <w:r w:rsidDel="00000000" w:rsidR="00000000" w:rsidRPr="00000000">
        <w:rPr>
          <w:rFonts w:ascii="Tahoma" w:cs="Tahoma" w:eastAsia="Tahoma" w:hAnsi="Tahoma"/>
          <w:rtl w:val="0"/>
        </w:rPr>
        <w:t xml:space="preserve">il contiendra un filtre permettant aux personnes concernées de retrouver facilement les études qui les concernent menées sur le &lt; nom de l'entrepôt &gt;.</w:t>
      </w:r>
    </w:p>
    <w:p w:rsidR="00000000" w:rsidDel="00000000" w:rsidP="00000000" w:rsidRDefault="00000000" w:rsidRPr="00000000" w14:paraId="000002DD">
      <w:pPr>
        <w:rPr>
          <w:rFonts w:ascii="Tahoma" w:cs="Tahoma" w:eastAsia="Tahoma" w:hAnsi="Tahoma"/>
        </w:rPr>
      </w:pPr>
      <w:r w:rsidDel="00000000" w:rsidR="00000000" w:rsidRPr="00000000">
        <w:rPr>
          <w:rtl w:val="0"/>
        </w:rPr>
      </w:r>
    </w:p>
    <w:p w:rsidR="00000000" w:rsidDel="00000000" w:rsidP="00000000" w:rsidRDefault="00000000" w:rsidRPr="00000000" w14:paraId="000002DE">
      <w:pPr>
        <w:pStyle w:val="Heading3"/>
        <w:numPr>
          <w:ilvl w:val="0"/>
          <w:numId w:val="32"/>
        </w:numPr>
        <w:spacing w:after="80" w:before="320" w:lineRule="auto"/>
        <w:rPr>
          <w:rFonts w:ascii="Tahoma" w:cs="Tahoma" w:eastAsia="Tahoma" w:hAnsi="Tahoma"/>
          <w:color w:val="434343"/>
          <w:sz w:val="28"/>
          <w:szCs w:val="28"/>
        </w:rPr>
      </w:pPr>
      <w:bookmarkStart w:colFirst="0" w:colLast="0" w:name="_49nmm5sas17" w:id="45"/>
      <w:bookmarkEnd w:id="45"/>
      <w:r w:rsidDel="00000000" w:rsidR="00000000" w:rsidRPr="00000000">
        <w:rPr>
          <w:color w:val="434343"/>
          <w:sz w:val="28"/>
          <w:szCs w:val="28"/>
          <w:u w:val="single"/>
          <w:rtl w:val="0"/>
        </w:rPr>
        <w:t xml:space="preserve">Modalités d’exercice des autres droits</w:t>
      </w:r>
    </w:p>
    <w:p w:rsidR="00000000" w:rsidDel="00000000" w:rsidP="00000000" w:rsidRDefault="00000000" w:rsidRPr="00000000" w14:paraId="000002DF">
      <w:pPr>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0">
      <w:pPr>
        <w:widowControl w:val="0"/>
        <w:spacing w:line="240" w:lineRule="auto"/>
        <w:ind w:left="379.0000534057617"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2E1">
      <w:pPr>
        <w:numPr>
          <w:ilvl w:val="0"/>
          <w:numId w:val="5"/>
        </w:numPr>
        <w:spacing w:after="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Arrivée de la demande</w:t>
      </w:r>
      <w:r w:rsidDel="00000000" w:rsidR="00000000" w:rsidRPr="00000000">
        <w:rPr>
          <w:rtl w:val="0"/>
        </w:rPr>
      </w:r>
    </w:p>
    <w:p w:rsidR="00000000" w:rsidDel="00000000" w:rsidP="00000000" w:rsidRDefault="00000000" w:rsidRPr="00000000" w14:paraId="000002E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canal d’entrée des demandes d’exercice de droit est le point de contact unique (PCU), soit les coordonnées du DPD du &lt; nom du responsable de traitement &gt; : par voie postale à l’adresse &lt; adresse postale du responsable de traitement &gt; par voie électronique à l’adresse &lt; adresse électronique du responsable de traitement &gt;. </w:t>
      </w:r>
    </w:p>
    <w:p w:rsidR="00000000" w:rsidDel="00000000" w:rsidP="00000000" w:rsidRDefault="00000000" w:rsidRPr="00000000" w14:paraId="000002E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boîte aux lettres électronique PCU envoie un accusé de réception automatique, précisant à la personne concernée que sa demande a bien été prise en compte et qu’elle recevra une réponse sous un mois maximum.</w:t>
      </w:r>
    </w:p>
    <w:p w:rsidR="00000000" w:rsidDel="00000000" w:rsidP="00000000" w:rsidRDefault="00000000" w:rsidRPr="00000000" w14:paraId="000002E5">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6">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DPD du &lt; nom du responsable de traitement &gt; inscrit la demande au Tableau de suivi des demandes de droit.</w:t>
      </w:r>
    </w:p>
    <w:p w:rsidR="00000000" w:rsidDel="00000000" w:rsidP="00000000" w:rsidRDefault="00000000" w:rsidRPr="00000000" w14:paraId="000002E7">
      <w:pPr>
        <w:spacing w:after="60"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8">
      <w:pPr>
        <w:numPr>
          <w:ilvl w:val="0"/>
          <w:numId w:val="52"/>
        </w:numPr>
        <w:spacing w:after="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Vérification de l’identité de la personne</w:t>
      </w:r>
      <w:r w:rsidDel="00000000" w:rsidR="00000000" w:rsidRPr="00000000">
        <w:rPr>
          <w:rtl w:val="0"/>
        </w:rPr>
      </w:r>
    </w:p>
    <w:p w:rsidR="00000000" w:rsidDel="00000000" w:rsidP="00000000" w:rsidRDefault="00000000" w:rsidRPr="00000000" w14:paraId="000002E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A">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cas de doute raisonnable sur l’identité du demandeur, le DPD du &lt; nom du responsable de traitement &gt; répondra manuellement en demandant un titre d’identité. Cette action suspend les délais prévus à l’</w:t>
      </w:r>
      <w:hyperlink r:id="rId23">
        <w:r w:rsidDel="00000000" w:rsidR="00000000" w:rsidRPr="00000000">
          <w:rPr>
            <w:rFonts w:ascii="Tahoma" w:cs="Tahoma" w:eastAsia="Tahoma" w:hAnsi="Tahoma"/>
            <w:color w:val="1155cc"/>
            <w:u w:val="single"/>
            <w:rtl w:val="0"/>
          </w:rPr>
          <w:t xml:space="preserve">article 12 du RGPD</w:t>
        </w:r>
      </w:hyperlink>
      <w:r w:rsidDel="00000000" w:rsidR="00000000" w:rsidRPr="00000000">
        <w:rPr>
          <w:rFonts w:ascii="Tahoma" w:cs="Tahoma" w:eastAsia="Tahoma" w:hAnsi="Tahoma"/>
          <w:rtl w:val="0"/>
        </w:rPr>
        <w:t xml:space="preserve">.</w:t>
      </w:r>
    </w:p>
    <w:p w:rsidR="00000000" w:rsidDel="00000000" w:rsidP="00000000" w:rsidRDefault="00000000" w:rsidRPr="00000000" w14:paraId="000002EB">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C">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le demandeur ne répond pas à la demande du DPD du &lt; nom du responsable de traitement &gt; sous 3 mois, la demande sera clôturée. La personne concernée sera informée par courriel de la clôture de sa demande et des motifs de cette clôture.</w:t>
      </w:r>
    </w:p>
    <w:p w:rsidR="00000000" w:rsidDel="00000000" w:rsidP="00000000" w:rsidRDefault="00000000" w:rsidRPr="00000000" w14:paraId="000002ED">
      <w:pPr>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EE">
      <w:pPr>
        <w:numPr>
          <w:ilvl w:val="0"/>
          <w:numId w:val="43"/>
        </w:numPr>
        <w:spacing w:after="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Actions techniques</w:t>
      </w:r>
      <w:r w:rsidDel="00000000" w:rsidR="00000000" w:rsidRPr="00000000">
        <w:rPr>
          <w:rtl w:val="0"/>
        </w:rPr>
      </w:r>
    </w:p>
    <w:p w:rsidR="00000000" w:rsidDel="00000000" w:rsidP="00000000" w:rsidRDefault="00000000" w:rsidRPr="00000000" w14:paraId="000002EF">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0">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modalités suivantes seront suivies pour donner suite aux demandes d’exercice des droits. En tout état de cause, le DPD du &lt; nom du responsable de traitement &gt; fera le lien avec les établissements de santé concernés afin d’assurer la bonne application des droits, notamment dans la perspective des mises à jour de données qui impliquent des actions au niveau des responsables de traitement des bases sources.</w:t>
      </w:r>
    </w:p>
    <w:p w:rsidR="00000000" w:rsidDel="00000000" w:rsidP="00000000" w:rsidRDefault="00000000" w:rsidRPr="00000000" w14:paraId="000002F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2">
      <w:pPr>
        <w:spacing w:line="240" w:lineRule="auto"/>
        <w:ind w:right="-40.8661417322827"/>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Droit d’accès : </w:t>
      </w:r>
    </w:p>
    <w:p w:rsidR="00000000" w:rsidDel="00000000" w:rsidP="00000000" w:rsidRDefault="00000000" w:rsidRPr="00000000" w14:paraId="000002F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4">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L’EDS étant chaîné à la base principale du SNDS, le circuit de pseudonymisation de la base principale du SNDS permettra de retrouver les données associées aux personnes qui exercent leur droit d’accès. En effet, dans la mesure où les identifiants utilisés dans la base principale du SNDS sont obtenus par un procédé cryptographique irréversible appliqué au NIR, le lien entre les données de la base principale du SNDS et la personne qui exerce ses droits pourra être fait en appliquant ces opérations de pseudonymisation du NIR, selon le circuit de pseudonymisation habituel qui fait intervenir la CNAM. </w:t>
      </w:r>
    </w:p>
    <w:p w:rsidR="00000000" w:rsidDel="00000000" w:rsidP="00000000" w:rsidRDefault="00000000" w:rsidRPr="00000000" w14:paraId="000002F5">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6">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Dès lors que la personne fournira les informations nécessaires pour entrer dans le circuit de pseudonymisation, la CNAM sera en mesure de communiquer au &lt; nom du responsable de traitement &gt; l'identifiant associé aux données de la copie de la base principale transmises au &lt; nom du responsable de traitement &gt;. Ainsi, le &lt; nom du responsable de traitement &gt; sera capable de vérifier que des données relatives à cette personne sont présentes ou non sur la plateforme technologique. </w:t>
      </w:r>
    </w:p>
    <w:p w:rsidR="00000000" w:rsidDel="00000000" w:rsidP="00000000" w:rsidRDefault="00000000" w:rsidRPr="00000000" w14:paraId="000002F7">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8">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personne concernée n’est pas retrouvée, le DPD du &lt; nom du responsable de traitement &gt; répondra négativement à la demande, sous un mois à compter de sa réception.</w:t>
      </w:r>
    </w:p>
    <w:p w:rsidR="00000000" w:rsidDel="00000000" w:rsidP="00000000" w:rsidRDefault="00000000" w:rsidRPr="00000000" w14:paraId="000002F9">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2FA">
      <w:pPr>
        <w:spacing w:after="60"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personne concernée est retrouvée dans l’EDS :</w:t>
      </w:r>
    </w:p>
    <w:p w:rsidR="00000000" w:rsidDel="00000000" w:rsidP="00000000" w:rsidRDefault="00000000" w:rsidRPr="00000000" w14:paraId="000002FB">
      <w:pPr>
        <w:numPr>
          <w:ilvl w:val="0"/>
          <w:numId w:val="1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Si la demande porte sur la confirmation que les données sont ou ne sont pas traitées, le DPD du &lt; nom du responsable de traitement &gt; indiquera à la personne que ses données sont ou ne sont pas présentes dans l’EDS.</w:t>
      </w:r>
    </w:p>
    <w:p w:rsidR="00000000" w:rsidDel="00000000" w:rsidP="00000000" w:rsidRDefault="00000000" w:rsidRPr="00000000" w14:paraId="000002FC">
      <w:pPr>
        <w:numPr>
          <w:ilvl w:val="0"/>
          <w:numId w:val="1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Si la demande porte sur l’obtention d’informations sur le traitement de données, le DPD du &lt; nom du responsable de traitement &gt; fournira à la personne les informations demandées, en s’appuyant sur la lettre d’information délivrée par les ES et en détaillant, dans la mesure du possible, davantage les informations.</w:t>
      </w:r>
    </w:p>
    <w:p w:rsidR="00000000" w:rsidDel="00000000" w:rsidP="00000000" w:rsidRDefault="00000000" w:rsidRPr="00000000" w14:paraId="000002FD">
      <w:pPr>
        <w:numPr>
          <w:ilvl w:val="0"/>
          <w:numId w:val="18"/>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Si la demande vise à obtenir l’accès aux données ou une copie des données :</w:t>
      </w:r>
    </w:p>
    <w:p w:rsidR="00000000" w:rsidDel="00000000" w:rsidP="00000000" w:rsidRDefault="00000000" w:rsidRPr="00000000" w14:paraId="000002FE">
      <w:pPr>
        <w:numPr>
          <w:ilvl w:val="1"/>
          <w:numId w:val="1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 cas échéant, le DPD du &lt; nom du responsable de traitement &gt; récupère les coordonnées (adresse e-mail) de la personne ayant exercé son droit d’accès, ainsi que l’Id_demande, à partir de son interface admin du concentrateur ;</w:t>
      </w:r>
    </w:p>
    <w:p w:rsidR="00000000" w:rsidDel="00000000" w:rsidP="00000000" w:rsidRDefault="00000000" w:rsidRPr="00000000" w14:paraId="000002FF">
      <w:pPr>
        <w:numPr>
          <w:ilvl w:val="1"/>
          <w:numId w:val="1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 référent données du &lt; nom du responsable de traitement &gt; extraira de la base toutes les données concernant la personne et les structure de manière compréhensible ;</w:t>
      </w:r>
    </w:p>
    <w:p w:rsidR="00000000" w:rsidDel="00000000" w:rsidP="00000000" w:rsidRDefault="00000000" w:rsidRPr="00000000" w14:paraId="00000300">
      <w:pPr>
        <w:widowControl w:val="0"/>
        <w:numPr>
          <w:ilvl w:val="1"/>
          <w:numId w:val="1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 Délégué à la Protection des Données récupèrera de la part du référent données le conteneur chiffré contenant les données de la personne ayant exercé son droit d’accès (à partir de l’Id_demande) ainsi que le mot de passe associé au conteneur ; </w:t>
      </w:r>
    </w:p>
    <w:p w:rsidR="00000000" w:rsidDel="00000000" w:rsidP="00000000" w:rsidRDefault="00000000" w:rsidRPr="00000000" w14:paraId="00000301">
      <w:pPr>
        <w:widowControl w:val="0"/>
        <w:numPr>
          <w:ilvl w:val="1"/>
          <w:numId w:val="18"/>
        </w:numPr>
        <w:spacing w:line="240" w:lineRule="auto"/>
        <w:ind w:left="1440" w:right="-40.8661417322827" w:hanging="360"/>
        <w:jc w:val="both"/>
        <w:rPr>
          <w:rFonts w:ascii="Tahoma" w:cs="Tahoma" w:eastAsia="Tahoma" w:hAnsi="Tahoma"/>
        </w:rPr>
      </w:pPr>
      <w:r w:rsidDel="00000000" w:rsidR="00000000" w:rsidRPr="00000000">
        <w:rPr>
          <w:rFonts w:ascii="Tahoma" w:cs="Tahoma" w:eastAsia="Tahoma" w:hAnsi="Tahoma"/>
          <w:rtl w:val="0"/>
        </w:rPr>
        <w:t xml:space="preserve">Le Délégué à la Protection des Données enverra par e-mail le conteneur chiffré à la personne ayant exercé son droit d’accès. Lorsque le droit d’accès s’exerce par voie postale, nous envisageons que les données soient envoyées par courrier avec accusé de réception afin de garantir que seul le bon destinataire accède au pli. Pour limiter l’accès aux données au sein du &lt; nom du responsable de traitement &gt;, les données seraient imprimées par l’équipe DPD du &lt; nom du responsable de traitement &gt; et un courrier type accompagnerait l’extraction des données. Les risques sur la confidentialité des données présentés par la voie postale seront exposés aux personnes et un envoi par voie électronique privilégié dans la mesure du possible. A défaut, une remise en mains propres dans les locaux du &lt; nom du responsable de traitement &gt; pourrait être proposée afin de limiter la circulation des données. </w:t>
      </w:r>
    </w:p>
    <w:p w:rsidR="00000000" w:rsidDel="00000000" w:rsidP="00000000" w:rsidRDefault="00000000" w:rsidRPr="00000000" w14:paraId="0000030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03">
      <w:pPr>
        <w:widowControl w:val="0"/>
        <w:spacing w:line="240" w:lineRule="auto"/>
        <w:ind w:left="12.800025939941406" w:right="-40.8661417322827" w:firstLine="0.5999755859375"/>
        <w:jc w:val="both"/>
        <w:rPr>
          <w:rFonts w:ascii="Tahoma" w:cs="Tahoma" w:eastAsia="Tahoma" w:hAnsi="Tahoma"/>
        </w:rPr>
      </w:pPr>
      <w:r w:rsidDel="00000000" w:rsidR="00000000" w:rsidRPr="00000000">
        <w:rPr>
          <w:rFonts w:ascii="Tahoma" w:cs="Tahoma" w:eastAsia="Tahoma" w:hAnsi="Tahoma"/>
          <w:rtl w:val="0"/>
        </w:rPr>
        <w:t xml:space="preserve">Concernant le droit d’accès des utilisateurs de la plateforme technologique à leurs données personnelles, le Délégué à la Protection des données </w:t>
      </w:r>
      <w:r w:rsidDel="00000000" w:rsidR="00000000" w:rsidRPr="00000000">
        <w:rPr>
          <w:rFonts w:ascii="Tahoma" w:cs="Tahoma" w:eastAsia="Tahoma" w:hAnsi="Tahoma"/>
          <w:rtl w:val="0"/>
        </w:rPr>
        <w:t xml:space="preserve">du </w:t>
      </w:r>
      <w:r w:rsidDel="00000000" w:rsidR="00000000" w:rsidRPr="00000000">
        <w:rPr>
          <w:rFonts w:ascii="Tahoma" w:cs="Tahoma" w:eastAsia="Tahoma" w:hAnsi="Tahoma"/>
          <w:rtl w:val="0"/>
        </w:rPr>
        <w:t xml:space="preserve">&lt; nom du responsable de traitement &gt;</w:t>
      </w:r>
      <w:r w:rsidDel="00000000" w:rsidR="00000000" w:rsidRPr="00000000">
        <w:rPr>
          <w:rFonts w:ascii="Tahoma" w:cs="Tahoma" w:eastAsia="Tahoma" w:hAnsi="Tahoma"/>
          <w:rtl w:val="0"/>
        </w:rPr>
        <w:t xml:space="preserve"> sera</w:t>
      </w:r>
      <w:r w:rsidDel="00000000" w:rsidR="00000000" w:rsidRPr="00000000">
        <w:rPr>
          <w:rFonts w:ascii="Tahoma" w:cs="Tahoma" w:eastAsia="Tahoma" w:hAnsi="Tahoma"/>
          <w:rtl w:val="0"/>
        </w:rPr>
        <w:t xml:space="preserve"> le point de contact des utilisateurs qui souhaitent l’exercer. Les coordonnées du DPD seront communiquées aux utilisateurs avant leur arrivée sur la plateforme technologique et sont rappelées dans les CGU de la plateforme technologique. </w:t>
      </w:r>
    </w:p>
    <w:p w:rsidR="00000000" w:rsidDel="00000000" w:rsidP="00000000" w:rsidRDefault="00000000" w:rsidRPr="00000000" w14:paraId="00000304">
      <w:pPr>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05">
      <w:pPr>
        <w:ind w:right="-40.8661417322827"/>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Droit de rectification : </w:t>
      </w:r>
    </w:p>
    <w:p w:rsidR="00000000" w:rsidDel="00000000" w:rsidP="00000000" w:rsidRDefault="00000000" w:rsidRPr="00000000" w14:paraId="00000306">
      <w:pPr>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07">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fait le lien avec l’établissement de santé ayant collecté les données qui aurait commis une erreur justifiant d'être corrigée, afin de bénéficier de leur connaissance de la personne et de leur expertise médicale, lorsque la donnée à rectifier est médicale. </w:t>
      </w:r>
    </w:p>
    <w:p w:rsidR="00000000" w:rsidDel="00000000" w:rsidP="00000000" w:rsidRDefault="00000000" w:rsidRPr="00000000" w14:paraId="0000030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0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L’établissement de santé concerné mène ensuite les actions de rectification nécessaires sur les données sources du dossier patient.</w:t>
      </w:r>
    </w:p>
    <w:p w:rsidR="00000000" w:rsidDel="00000000" w:rsidP="00000000" w:rsidRDefault="00000000" w:rsidRPr="00000000" w14:paraId="0000030A">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0B">
      <w:pPr>
        <w:widowControl w:val="0"/>
        <w:spacing w:line="240" w:lineRule="auto"/>
        <w:ind w:left="13.400001525878906" w:right="-40.8661417322827" w:firstLine="0"/>
        <w:jc w:val="both"/>
        <w:rPr>
          <w:rFonts w:ascii="Tahoma" w:cs="Tahoma" w:eastAsia="Tahoma" w:hAnsi="Tahoma"/>
        </w:rPr>
      </w:pPr>
      <w:r w:rsidDel="00000000" w:rsidR="00000000" w:rsidRPr="00000000">
        <w:rPr>
          <w:rFonts w:ascii="Tahoma" w:cs="Tahoma" w:eastAsia="Tahoma" w:hAnsi="Tahoma"/>
          <w:rtl w:val="0"/>
        </w:rPr>
        <w:t xml:space="preserve">Concernant les données des utilisateurs de la plateforme technologique, ces derniers peuvent contacter leur autorité d’enregistrement qui fera le lien avec un opérateur projet pour rectifier les données nécessaires à la gestion de leur compte utilisateur. Concernant leurs traces d’activité, celles-ci ne peuvent pas être rectifiées du fait des contraintes de sécurité de la plateforme technologique. </w:t>
      </w:r>
    </w:p>
    <w:p w:rsidR="00000000" w:rsidDel="00000000" w:rsidP="00000000" w:rsidRDefault="00000000" w:rsidRPr="00000000" w14:paraId="0000030C">
      <w:pPr>
        <w:widowControl w:val="0"/>
        <w:spacing w:line="240" w:lineRule="auto"/>
        <w:ind w:left="13.400001525878906"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30D">
      <w:pPr>
        <w:widowControl w:val="0"/>
        <w:spacing w:line="240" w:lineRule="auto"/>
        <w:ind w:right="-40.8661417322827"/>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Droit à l’effacement : </w:t>
      </w:r>
    </w:p>
    <w:p w:rsidR="00000000" w:rsidDel="00000000" w:rsidP="00000000" w:rsidRDefault="00000000" w:rsidRPr="00000000" w14:paraId="0000030E">
      <w:pPr>
        <w:widowControl w:val="0"/>
        <w:spacing w:line="240" w:lineRule="auto"/>
        <w:ind w:right="-40.8661417322827"/>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30F">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En premier lieu, le DPD du &lt; nom du responsable de traitement &gt; vérifie que les conditions pour appliquer le droit à l’effacement sont réunies au sens de </w:t>
      </w:r>
      <w:hyperlink r:id="rId24">
        <w:r w:rsidDel="00000000" w:rsidR="00000000" w:rsidRPr="00000000">
          <w:rPr>
            <w:rFonts w:ascii="Tahoma" w:cs="Tahoma" w:eastAsia="Tahoma" w:hAnsi="Tahoma"/>
            <w:color w:val="1155cc"/>
            <w:u w:val="single"/>
            <w:rtl w:val="0"/>
          </w:rPr>
          <w:t xml:space="preserve">l’article 17 1. du RGPD</w:t>
        </w:r>
      </w:hyperlink>
      <w:r w:rsidDel="00000000" w:rsidR="00000000" w:rsidRPr="00000000">
        <w:rPr>
          <w:rFonts w:ascii="Tahoma" w:cs="Tahoma" w:eastAsia="Tahoma" w:hAnsi="Tahoma"/>
          <w:rtl w:val="0"/>
        </w:rPr>
        <w:t xml:space="preserve"> et qu’aucune exception de l’article 17 3. n’est applicable.</w:t>
      </w:r>
    </w:p>
    <w:p w:rsidR="00000000" w:rsidDel="00000000" w:rsidP="00000000" w:rsidRDefault="00000000" w:rsidRPr="00000000" w14:paraId="00000310">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11">
      <w:pPr>
        <w:spacing w:line="240" w:lineRule="auto"/>
        <w:ind w:right="-40.8661417322827"/>
        <w:jc w:val="both"/>
        <w:rPr>
          <w:rFonts w:ascii="Tahoma" w:cs="Tahoma" w:eastAsia="Tahoma" w:hAnsi="Tahoma"/>
          <w:i w:val="1"/>
          <w:iCs w:val="1"/>
        </w:rPr>
      </w:pPr>
      <w:r w:rsidDel="00000000" w:rsidR="00000000" w:rsidRPr="00000000">
        <w:rPr>
          <w:rFonts w:ascii="Tahoma" w:cs="Tahoma" w:eastAsia="Tahoma" w:hAnsi="Tahoma"/>
          <w:i w:val="1"/>
          <w:iCs w:val="1"/>
          <w:rtl w:val="0"/>
        </w:rPr>
        <w:t xml:space="preserve">Avant ingestion des données sur la plateforme :</w:t>
      </w:r>
    </w:p>
    <w:p w:rsidR="00000000" w:rsidDel="00000000" w:rsidP="00000000" w:rsidRDefault="00000000" w:rsidRPr="00000000" w14:paraId="0000031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demande est recevable, le &lt; nom du responsable de traitement &gt; fait ensuite le lien avec l’établissement de santé ayant collecté les données.</w:t>
      </w:r>
    </w:p>
    <w:p w:rsidR="00000000" w:rsidDel="00000000" w:rsidP="00000000" w:rsidRDefault="00000000" w:rsidRPr="00000000" w14:paraId="0000031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1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L’établissement de santé concerné mène ensuite les actions d’effacement nécessaires sur les données sources du dossier patient, avant ingestion des données dans l’EDS.</w:t>
      </w:r>
    </w:p>
    <w:p w:rsidR="00000000" w:rsidDel="00000000" w:rsidP="00000000" w:rsidRDefault="00000000" w:rsidRPr="00000000" w14:paraId="00000315">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16">
      <w:pPr>
        <w:widowControl w:val="0"/>
        <w:spacing w:line="240" w:lineRule="auto"/>
        <w:ind w:right="-40.8661417322827"/>
        <w:jc w:val="both"/>
        <w:rPr>
          <w:rFonts w:ascii="Tahoma" w:cs="Tahoma" w:eastAsia="Tahoma" w:hAnsi="Tahoma"/>
          <w:i w:val="1"/>
          <w:iCs w:val="1"/>
        </w:rPr>
      </w:pPr>
      <w:r w:rsidDel="00000000" w:rsidR="00000000" w:rsidRPr="00000000">
        <w:rPr>
          <w:rFonts w:ascii="Tahoma" w:cs="Tahoma" w:eastAsia="Tahoma" w:hAnsi="Tahoma"/>
          <w:i w:val="1"/>
          <w:iCs w:val="1"/>
          <w:rtl w:val="0"/>
        </w:rPr>
        <w:t xml:space="preserve">Après ingestion des données sur la plateforme :</w:t>
      </w:r>
    </w:p>
    <w:p w:rsidR="00000000" w:rsidDel="00000000" w:rsidP="00000000" w:rsidRDefault="00000000" w:rsidRPr="00000000" w14:paraId="00000317">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La mise en œuvre d’une procédure d’effacement soulève des enjeux de sécurité dans la mesure où l'architecture de la plateforme technologique a été conçue de telle sorte qu'aucun opérateur ne puisse accéder aux données stockées. En effet, les données sont stockées au format objet puis chiffrées donc les déplacer en entier dans l'espace de préparation pour les déchiffrer et retirer une ligne de temps en temps augmenterait la surface d'attaque, ce qui ne serait pas cohérent avec l’objectif de réduire l’exposition des données, d’une part vis-à-vis des opérateurs du &lt; nom du responsable de traitement &gt; amenés à les traiter, d’autre part vis-à-vis d’une éventuelle application extraterritoriale des lois américaines. Néanmoins, afin de donner suite à l’exercice du droit à l’effacement et de réduire les risques, il est envisageable d'exécuter plusieurs demandes en même temps selon une procédure de surveillance particulière. Le &lt; nom du responsable de traitement &gt; pourrait donc accepter les demandes d’exercice du droit à l’effacement pour les données de l’EDS mais ne les exécuterait pas au fil de l’eau et supprimerait toutes les données en même temps, lors d’une période dédiée à cette opération. L’exécution des demandes d’effacement en même temps, pendant une période limitée dans le temps, semble le meilleur compromis pour limiter les risques de sécurité soulevés. </w:t>
      </w:r>
    </w:p>
    <w:p w:rsidR="00000000" w:rsidDel="00000000" w:rsidP="00000000" w:rsidRDefault="00000000" w:rsidRPr="00000000" w14:paraId="00000318">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19">
      <w:pPr>
        <w:widowControl w:val="0"/>
        <w:spacing w:line="240" w:lineRule="auto"/>
        <w:ind w:left="12.000007629394531" w:right="-40.8661417322827" w:firstLine="8.800010681152344"/>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pourra répondre aux citoyens qui exercent leur droit d’effacement dans un délai d’un mois conformément au délai imposé par l’article 12 du RGPD en leur expliquant les enjeux de sécurité et comment il sera donné suite à leur demande. Le délai imposé par l’article 12 du RGPD porte sur les mesures prises à la suite d’une demande et sera ainsi respecté mais il n’emporte pas obligation que l’effacement soit exécuté concrètement dans ce délai d’un mois. Naturellement, le délai d’exécution doit être raisonnable mais il est laissé à l’appréciation du responsable de traitement qui doit en particulier prendre en compte le niveau de risques associé à l’opération. En l’espèce, une exécution des opérations d’effacement une fois par an semble le meilleur compromis mais, sous réserve de lever certaines contraintes pesant aujourd’hui sur l’architecture de la plateforme technologique, une fréquence d’exécution plus grande serait envisageable. </w:t>
      </w:r>
    </w:p>
    <w:p w:rsidR="00000000" w:rsidDel="00000000" w:rsidP="00000000" w:rsidRDefault="00000000" w:rsidRPr="00000000" w14:paraId="0000031A">
      <w:pPr>
        <w:widowControl w:val="0"/>
        <w:spacing w:line="240" w:lineRule="auto"/>
        <w:ind w:left="7.6000213623046875" w:right="-40.86614173228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31B">
      <w:pPr>
        <w:widowControl w:val="0"/>
        <w:spacing w:line="240" w:lineRule="auto"/>
        <w:ind w:left="7.6000213623046875" w:right="-40.8661417322827" w:firstLine="5.799980163574219"/>
        <w:jc w:val="both"/>
        <w:rPr>
          <w:rFonts w:ascii="Tahoma" w:cs="Tahoma" w:eastAsia="Tahoma" w:hAnsi="Tahoma"/>
        </w:rPr>
      </w:pPr>
      <w:r w:rsidDel="00000000" w:rsidR="00000000" w:rsidRPr="00000000">
        <w:rPr>
          <w:rtl w:val="0"/>
        </w:rPr>
      </w:r>
    </w:p>
    <w:p w:rsidR="00000000" w:rsidDel="00000000" w:rsidP="00000000" w:rsidRDefault="00000000" w:rsidRPr="00000000" w14:paraId="0000031C">
      <w:pPr>
        <w:spacing w:after="60" w:line="240" w:lineRule="auto"/>
        <w:ind w:right="-40.8661417322827"/>
        <w:jc w:val="both"/>
        <w:rPr>
          <w:rFonts w:ascii="Tahoma" w:cs="Tahoma" w:eastAsia="Tahoma" w:hAnsi="Tahoma"/>
        </w:rPr>
      </w:pPr>
      <w:r w:rsidDel="00000000" w:rsidR="00000000" w:rsidRPr="00000000">
        <w:rPr>
          <w:rFonts w:ascii="Tahoma" w:cs="Tahoma" w:eastAsia="Tahoma" w:hAnsi="Tahoma"/>
          <w:b w:val="1"/>
          <w:bCs w:val="1"/>
          <w:rtl w:val="0"/>
        </w:rPr>
        <w:t xml:space="preserve">Droit à la limitation</w:t>
      </w:r>
      <w:r w:rsidDel="00000000" w:rsidR="00000000" w:rsidRPr="00000000">
        <w:rPr>
          <w:rFonts w:ascii="Tahoma" w:cs="Tahoma" w:eastAsia="Tahoma" w:hAnsi="Tahoma"/>
          <w:rtl w:val="0"/>
        </w:rPr>
        <w:t xml:space="preserve"> :</w:t>
      </w:r>
    </w:p>
    <w:p w:rsidR="00000000" w:rsidDel="00000000" w:rsidP="00000000" w:rsidRDefault="00000000" w:rsidRPr="00000000" w14:paraId="0000031D">
      <w:pPr>
        <w:widowControl w:val="0"/>
        <w:spacing w:line="240" w:lineRule="auto"/>
        <w:ind w:left="19.000015258789062" w:right="-40.8661417322827" w:firstLine="1.8000030517578125"/>
        <w:jc w:val="both"/>
        <w:rPr>
          <w:rFonts w:ascii="Tahoma" w:cs="Tahoma" w:eastAsia="Tahoma" w:hAnsi="Tahoma"/>
        </w:rPr>
      </w:pPr>
      <w:r w:rsidDel="00000000" w:rsidR="00000000" w:rsidRPr="00000000">
        <w:rPr>
          <w:rtl w:val="0"/>
        </w:rPr>
      </w:r>
    </w:p>
    <w:p w:rsidR="00000000" w:rsidDel="00000000" w:rsidP="00000000" w:rsidRDefault="00000000" w:rsidRPr="00000000" w14:paraId="0000031E">
      <w:pPr>
        <w:widowControl w:val="0"/>
        <w:spacing w:line="240" w:lineRule="auto"/>
        <w:ind w:left="19.000015258789062" w:right="-40.8661417322827" w:firstLine="1.8000030517578125"/>
        <w:jc w:val="both"/>
        <w:rPr>
          <w:rFonts w:ascii="Tahoma" w:cs="Tahoma" w:eastAsia="Tahoma" w:hAnsi="Tahoma"/>
        </w:rPr>
      </w:pPr>
      <w:r w:rsidDel="00000000" w:rsidR="00000000" w:rsidRPr="00000000">
        <w:rPr>
          <w:rFonts w:ascii="Tahoma" w:cs="Tahoma" w:eastAsia="Tahoma" w:hAnsi="Tahoma"/>
          <w:rtl w:val="0"/>
        </w:rPr>
        <w:t xml:space="preserve">Le DPD du &lt; nom du responsable de traitement &gt; vérifie que les conditions pour appliquer le droit à la limitation sont réunies au sens de l’</w:t>
      </w:r>
      <w:hyperlink r:id="rId25">
        <w:r w:rsidDel="00000000" w:rsidR="00000000" w:rsidRPr="00000000">
          <w:rPr>
            <w:rFonts w:ascii="Tahoma" w:cs="Tahoma" w:eastAsia="Tahoma" w:hAnsi="Tahoma"/>
            <w:color w:val="1155cc"/>
            <w:u w:val="single"/>
            <w:rtl w:val="0"/>
          </w:rPr>
          <w:t xml:space="preserve">article 18 1. du RGPD</w:t>
        </w:r>
      </w:hyperlink>
      <w:r w:rsidDel="00000000" w:rsidR="00000000" w:rsidRPr="00000000">
        <w:rPr>
          <w:rFonts w:ascii="Tahoma" w:cs="Tahoma" w:eastAsia="Tahoma" w:hAnsi="Tahoma"/>
          <w:rtl w:val="0"/>
        </w:rPr>
        <w:t xml:space="preserve">.</w:t>
      </w:r>
    </w:p>
    <w:p w:rsidR="00000000" w:rsidDel="00000000" w:rsidP="00000000" w:rsidRDefault="00000000" w:rsidRPr="00000000" w14:paraId="0000031F">
      <w:pPr>
        <w:widowControl w:val="0"/>
        <w:spacing w:line="240" w:lineRule="auto"/>
        <w:ind w:left="19.000015258789062" w:right="-40.8661417322827" w:firstLine="1.8000030517578125"/>
        <w:jc w:val="both"/>
        <w:rPr>
          <w:rFonts w:ascii="Tahoma" w:cs="Tahoma" w:eastAsia="Tahoma" w:hAnsi="Tahoma"/>
        </w:rPr>
      </w:pPr>
      <w:r w:rsidDel="00000000" w:rsidR="00000000" w:rsidRPr="00000000">
        <w:rPr>
          <w:rtl w:val="0"/>
        </w:rPr>
      </w:r>
    </w:p>
    <w:p w:rsidR="00000000" w:rsidDel="00000000" w:rsidP="00000000" w:rsidRDefault="00000000" w:rsidRPr="00000000" w14:paraId="00000320">
      <w:pPr>
        <w:widowControl w:val="0"/>
        <w:spacing w:line="240" w:lineRule="auto"/>
        <w:ind w:left="19.000015258789062" w:right="-40.8661417322827" w:firstLine="1.8000030517578125"/>
        <w:jc w:val="both"/>
        <w:rPr>
          <w:rFonts w:ascii="Tahoma" w:cs="Tahoma" w:eastAsia="Tahoma" w:hAnsi="Tahoma"/>
        </w:rPr>
      </w:pPr>
      <w:r w:rsidDel="00000000" w:rsidR="00000000" w:rsidRPr="00000000">
        <w:rPr>
          <w:rFonts w:ascii="Tahoma" w:cs="Tahoma" w:eastAsia="Tahoma" w:hAnsi="Tahoma"/>
          <w:rtl w:val="0"/>
        </w:rPr>
        <w:t xml:space="preserve">De même que pour le droit de rectification, une analyse au cas par cas s’imposera pour déterminer la meilleure réponse à apporter à une demande d’exercice du droit à la limitation mais les modalités de mise en œuvre du droit d’opposition devraient satisfaire également à l’exercice de ce droit. </w:t>
      </w:r>
    </w:p>
    <w:p w:rsidR="00000000" w:rsidDel="00000000" w:rsidP="00000000" w:rsidRDefault="00000000" w:rsidRPr="00000000" w14:paraId="00000321">
      <w:pPr>
        <w:widowControl w:val="0"/>
        <w:spacing w:line="240" w:lineRule="auto"/>
        <w:ind w:left="13.000030517578125" w:right="-40.8661417322827" w:firstLine="7.79998779296875"/>
        <w:jc w:val="both"/>
        <w:rPr>
          <w:rFonts w:ascii="Tahoma" w:cs="Tahoma" w:eastAsia="Tahoma" w:hAnsi="Tahoma"/>
        </w:rPr>
      </w:pPr>
      <w:r w:rsidDel="00000000" w:rsidR="00000000" w:rsidRPr="00000000">
        <w:rPr>
          <w:rtl w:val="0"/>
        </w:rPr>
      </w:r>
    </w:p>
    <w:p w:rsidR="00000000" w:rsidDel="00000000" w:rsidP="00000000" w:rsidRDefault="00000000" w:rsidRPr="00000000" w14:paraId="0000032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demande est recevable, le DPD du &lt; nom du responsable de traitement &gt; demande aux ES de ne plus verser dans l’EDS les données concernées.</w:t>
      </w:r>
    </w:p>
    <w:p w:rsidR="00000000" w:rsidDel="00000000" w:rsidP="00000000" w:rsidRDefault="00000000" w:rsidRPr="00000000" w14:paraId="00000323">
      <w:pPr>
        <w:widowControl w:val="0"/>
        <w:spacing w:line="240" w:lineRule="auto"/>
        <w:ind w:left="7.6000213623046875" w:right="-40.8661417322827" w:firstLine="5.799980163574219"/>
        <w:jc w:val="both"/>
        <w:rPr>
          <w:rFonts w:ascii="Tahoma" w:cs="Tahoma" w:eastAsia="Tahoma" w:hAnsi="Tahoma"/>
        </w:rPr>
      </w:pPr>
      <w:r w:rsidDel="00000000" w:rsidR="00000000" w:rsidRPr="00000000">
        <w:rPr>
          <w:rtl w:val="0"/>
        </w:rPr>
      </w:r>
    </w:p>
    <w:p w:rsidR="00000000" w:rsidDel="00000000" w:rsidP="00000000" w:rsidRDefault="00000000" w:rsidRPr="00000000" w14:paraId="00000324">
      <w:pPr>
        <w:widowControl w:val="0"/>
        <w:spacing w:line="240" w:lineRule="auto"/>
        <w:ind w:left="7.6000213623046875" w:right="-40.8661417322827" w:firstLine="5.799980163574219"/>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Droit d’opposition : </w:t>
      </w:r>
    </w:p>
    <w:p w:rsidR="00000000" w:rsidDel="00000000" w:rsidP="00000000" w:rsidRDefault="00000000" w:rsidRPr="00000000" w14:paraId="00000325">
      <w:pPr>
        <w:widowControl w:val="0"/>
        <w:spacing w:line="240" w:lineRule="auto"/>
        <w:ind w:left="7.6000213623046875" w:right="-40.8661417322827" w:firstLine="5.799980163574219"/>
        <w:jc w:val="both"/>
        <w:rPr>
          <w:rFonts w:ascii="Tahoma" w:cs="Tahoma" w:eastAsia="Tahoma" w:hAnsi="Tahoma"/>
        </w:rPr>
      </w:pPr>
      <w:r w:rsidDel="00000000" w:rsidR="00000000" w:rsidRPr="00000000">
        <w:rPr>
          <w:rtl w:val="0"/>
        </w:rPr>
      </w:r>
    </w:p>
    <w:p w:rsidR="00000000" w:rsidDel="00000000" w:rsidP="00000000" w:rsidRDefault="00000000" w:rsidRPr="00000000" w14:paraId="00000326">
      <w:pPr>
        <w:widowControl w:val="0"/>
        <w:spacing w:line="240" w:lineRule="auto"/>
        <w:ind w:left="13.000030517578125" w:right="-40.8661417322827" w:firstLine="7.79998779296875"/>
        <w:jc w:val="both"/>
        <w:rPr>
          <w:rFonts w:ascii="Tahoma" w:cs="Tahoma" w:eastAsia="Tahoma" w:hAnsi="Tahoma"/>
        </w:rPr>
      </w:pPr>
      <w:r w:rsidDel="00000000" w:rsidR="00000000" w:rsidRPr="00000000">
        <w:rPr>
          <w:rFonts w:ascii="Tahoma" w:cs="Tahoma" w:eastAsia="Tahoma" w:hAnsi="Tahoma"/>
          <w:rtl w:val="0"/>
        </w:rPr>
        <w:t xml:space="preserve">Le droit d’opposition sera pris en compte à différents niveaux : </w:t>
      </w:r>
    </w:p>
    <w:p w:rsidR="00000000" w:rsidDel="00000000" w:rsidP="00000000" w:rsidRDefault="00000000" w:rsidRPr="00000000" w14:paraId="00000327">
      <w:pPr>
        <w:widowControl w:val="0"/>
        <w:numPr>
          <w:ilvl w:val="0"/>
          <w:numId w:val="5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En amont du transfert des données vers le &lt; nom du responsable de traitement &gt;, la personne peut exprimer son opposition auprès du &lt; nom du responsable de traitement &gt; mais il n’est pas exclu qu’elle se manifeste aussi directement auprès de l’établissement de santé qui l’aura informée de son intention de transmettre les données au &lt; nom du responsable de traitement &gt;. Dans les deux hypothèses, une interaction forte entre le &lt; nom du responsable de traitement &gt; et les établissements de santé sera nécessaire pour que ces derniers puissent retenir les données à la source et ne pas les envoyer au &lt; nom du responsable de traitement &gt;. </w:t>
      </w:r>
    </w:p>
    <w:p w:rsidR="00000000" w:rsidDel="00000000" w:rsidP="00000000" w:rsidRDefault="00000000" w:rsidRPr="00000000" w14:paraId="00000328">
      <w:pPr>
        <w:widowControl w:val="0"/>
        <w:numPr>
          <w:ilvl w:val="0"/>
          <w:numId w:val="56"/>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En aval du transfert des données vers le &lt; nom du responsable de traitement &gt;, il est donc trop tard pour empêcher leur circulation mais le &lt; nom du responsable de traitement &gt; pourra donner suite au droit d’opposition en mettant en œuvre une procédure d’exclusion. Cela consiste, par un jeu d’automates, à ajouter les identifiants de stockage correspondant aux personnes qui ont exprimé leur opposition à une matrice d'exclusion. La matrice permet ensuite, de manière automatisée, de ne plus partager les données attenantes issues de l’EDS lors des futures mises à disposition de données aux porteurs de projets. </w:t>
      </w:r>
    </w:p>
    <w:p w:rsidR="00000000" w:rsidDel="00000000" w:rsidP="00000000" w:rsidRDefault="00000000" w:rsidRPr="00000000" w14:paraId="00000329">
      <w:pPr>
        <w:widowControl w:val="0"/>
        <w:spacing w:line="240" w:lineRule="auto"/>
        <w:ind w:left="720" w:right="-40.8661417322827" w:firstLine="0"/>
        <w:jc w:val="both"/>
        <w:rPr>
          <w:rFonts w:ascii="Tahoma" w:cs="Tahoma" w:eastAsia="Tahoma" w:hAnsi="Tahoma"/>
        </w:rPr>
      </w:pPr>
      <w:r w:rsidDel="00000000" w:rsidR="00000000" w:rsidRPr="00000000">
        <w:rPr>
          <w:rFonts w:ascii="Tahoma" w:cs="Tahoma" w:eastAsia="Tahoma" w:hAnsi="Tahoma"/>
          <w:rtl w:val="0"/>
        </w:rPr>
        <w:t xml:space="preserve">Le &lt; nom du responsable de traitement &gt; informera la personne que son droit d’opposition a bien été pris en compte et lui garantira l'utilisation de la matrice d’exclusion pour les futures mises à disposition de données. </w:t>
      </w:r>
    </w:p>
    <w:p w:rsidR="00000000" w:rsidDel="00000000" w:rsidP="00000000" w:rsidRDefault="00000000" w:rsidRPr="00000000" w14:paraId="0000032A">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2B">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2C">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2D">
      <w:pPr>
        <w:widowControl w:val="0"/>
        <w:spacing w:line="240" w:lineRule="auto"/>
        <w:ind w:right="-40.8661417322827"/>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Droit à la portabilité : </w:t>
      </w:r>
    </w:p>
    <w:p w:rsidR="00000000" w:rsidDel="00000000" w:rsidP="00000000" w:rsidRDefault="00000000" w:rsidRPr="00000000" w14:paraId="0000032E">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2F">
      <w:pPr>
        <w:widowControl w:val="0"/>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traitements de données mis en œuvre dans le cadre de l’EDS n’étant fondés ni sur le consentement de la personne ni sur l’exécution d’un contrat, les conditions d’applicabilité du droit à la portabilité prévu par l’article 20 du RGPD ne sont pas réunies.</w:t>
      </w:r>
    </w:p>
    <w:p w:rsidR="00000000" w:rsidDel="00000000" w:rsidP="00000000" w:rsidRDefault="00000000" w:rsidRPr="00000000" w14:paraId="00000330">
      <w:pPr>
        <w:widowControl w:val="0"/>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1">
      <w:pPr>
        <w:numPr>
          <w:ilvl w:val="0"/>
          <w:numId w:val="51"/>
        </w:numPr>
        <w:spacing w:after="60" w:line="240" w:lineRule="auto"/>
        <w:ind w:left="720" w:right="-40.8661417322827" w:hanging="360"/>
        <w:jc w:val="both"/>
        <w:rPr>
          <w:rFonts w:ascii="Tahoma" w:cs="Tahoma" w:eastAsia="Tahoma" w:hAnsi="Tahoma"/>
        </w:rPr>
      </w:pPr>
      <w:r w:rsidDel="00000000" w:rsidR="00000000" w:rsidRPr="00000000">
        <w:rPr>
          <w:rFonts w:ascii="Tahoma" w:cs="Tahoma" w:eastAsia="Tahoma" w:hAnsi="Tahoma"/>
          <w:u w:val="single"/>
          <w:rtl w:val="0"/>
        </w:rPr>
        <w:t xml:space="preserve">Réponse à la demande</w:t>
      </w:r>
      <w:r w:rsidDel="00000000" w:rsidR="00000000" w:rsidRPr="00000000">
        <w:rPr>
          <w:rtl w:val="0"/>
        </w:rPr>
      </w:r>
    </w:p>
    <w:p w:rsidR="00000000" w:rsidDel="00000000" w:rsidP="00000000" w:rsidRDefault="00000000" w:rsidRPr="00000000" w14:paraId="00000332">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3">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DPD du &lt; nom du responsable de traitement &gt; répond à la personne concernée sous un mois, par courrier électronique ou, le cas échéant, par courrier postal.</w:t>
      </w:r>
    </w:p>
    <w:p w:rsidR="00000000" w:rsidDel="00000000" w:rsidP="00000000" w:rsidRDefault="00000000" w:rsidRPr="00000000" w14:paraId="00000334">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5">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demande n’est pas recevable, le DPD du &lt; nom du responsable de traitement &gt; répond négativement à la personne concernée, en lui exposant les motifs du refus.</w:t>
      </w:r>
    </w:p>
    <w:p w:rsidR="00000000" w:rsidDel="00000000" w:rsidP="00000000" w:rsidRDefault="00000000" w:rsidRPr="00000000" w14:paraId="00000336">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7">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 la demande est recevable, le DPD du &lt; nom du responsable de traitement &gt; répond positivement à la personne concernée, en lui expliquant les actions prises pour faire droit à sa demande.</w:t>
      </w:r>
    </w:p>
    <w:p w:rsidR="00000000" w:rsidDel="00000000" w:rsidP="00000000" w:rsidRDefault="00000000" w:rsidRPr="00000000" w14:paraId="00000338">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9">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S’il juge la demande complexe, le DPD informe sous un mois la personne concernée de l’allongement du délai de réponse et des motifs associés. Le DPD du &lt; nom du responsable de traitement &gt; répondra à la personne sous trois mois maximum à compter de la réception de la demande.</w:t>
      </w:r>
    </w:p>
    <w:p w:rsidR="00000000" w:rsidDel="00000000" w:rsidP="00000000" w:rsidRDefault="00000000" w:rsidRPr="00000000" w14:paraId="0000033A">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B">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DPD du &lt; nom du responsable de traitement &gt; actualise le Tableau de suivi des demandes de droit.</w:t>
      </w:r>
    </w:p>
    <w:p w:rsidR="00000000" w:rsidDel="00000000" w:rsidP="00000000" w:rsidRDefault="00000000" w:rsidRPr="00000000" w14:paraId="0000033C">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33D">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3E">
      <w:pPr>
        <w:pStyle w:val="Heading2"/>
        <w:numPr>
          <w:ilvl w:val="1"/>
          <w:numId w:val="7"/>
        </w:numPr>
        <w:spacing w:after="120" w:before="360" w:line="240" w:lineRule="auto"/>
        <w:ind w:left="1440" w:right="-40.8661417322827" w:hanging="360"/>
        <w:rPr>
          <w:rFonts w:ascii="Tahoma" w:cs="Tahoma" w:eastAsia="Tahoma" w:hAnsi="Tahoma"/>
          <w:color w:val="036287"/>
          <w:sz w:val="28"/>
          <w:szCs w:val="28"/>
        </w:rPr>
      </w:pPr>
      <w:bookmarkStart w:colFirst="0" w:colLast="0" w:name="_shn3z4e8ezyo" w:id="46"/>
      <w:bookmarkEnd w:id="46"/>
      <w:r w:rsidDel="00000000" w:rsidR="00000000" w:rsidRPr="00000000">
        <w:rPr>
          <w:b w:val="0"/>
          <w:bCs w:val="0"/>
          <w:sz w:val="28"/>
          <w:szCs w:val="28"/>
          <w:rtl w:val="0"/>
        </w:rPr>
        <w:t xml:space="preserve">Confidentialité et sécurité des données</w:t>
      </w:r>
    </w:p>
    <w:p w:rsidR="00000000" w:rsidDel="00000000" w:rsidP="00000000" w:rsidRDefault="00000000" w:rsidRPr="00000000" w14:paraId="0000033F">
      <w:pPr>
        <w:pStyle w:val="Heading2"/>
        <w:spacing w:after="120" w:before="360" w:line="240" w:lineRule="auto"/>
        <w:ind w:left="1440" w:right="-40.8661417322827" w:firstLine="0"/>
        <w:rPr>
          <w:b w:val="0"/>
          <w:bCs w:val="0"/>
          <w:sz w:val="28"/>
          <w:szCs w:val="28"/>
        </w:rPr>
      </w:pPr>
      <w:bookmarkStart w:colFirst="0" w:colLast="0" w:name="_qod9ygg9xqbu" w:id="47"/>
      <w:bookmarkEnd w:id="47"/>
      <w:r w:rsidDel="00000000" w:rsidR="00000000" w:rsidRPr="00000000">
        <w:rPr>
          <w:rtl w:val="0"/>
        </w:rPr>
      </w:r>
    </w:p>
    <w:p w:rsidR="00000000" w:rsidDel="00000000" w:rsidP="00000000" w:rsidRDefault="00000000" w:rsidRPr="00000000" w14:paraId="00000340">
      <w:pPr>
        <w:pStyle w:val="Heading3"/>
        <w:numPr>
          <w:ilvl w:val="2"/>
          <w:numId w:val="7"/>
        </w:numPr>
        <w:spacing w:after="80" w:before="320" w:lineRule="auto"/>
        <w:ind w:right="-40.8661417322827"/>
        <w:rPr>
          <w:rFonts w:ascii="Tahoma" w:cs="Tahoma" w:eastAsia="Tahoma" w:hAnsi="Tahoma"/>
          <w:color w:val="434343"/>
          <w:sz w:val="28"/>
          <w:szCs w:val="28"/>
        </w:rPr>
      </w:pPr>
      <w:bookmarkStart w:colFirst="0" w:colLast="0" w:name="_qld94ojktwjv" w:id="48"/>
      <w:bookmarkEnd w:id="48"/>
      <w:r w:rsidDel="00000000" w:rsidR="00000000" w:rsidRPr="00000000">
        <w:rPr>
          <w:color w:val="434343"/>
          <w:sz w:val="28"/>
          <w:szCs w:val="28"/>
          <w:u w:val="single"/>
          <w:rtl w:val="0"/>
        </w:rPr>
        <w:t xml:space="preserve">Mesures techniques et organisationnelles de sécurité</w:t>
      </w:r>
    </w:p>
    <w:p w:rsidR="00000000" w:rsidDel="00000000" w:rsidP="00000000" w:rsidRDefault="00000000" w:rsidRPr="00000000" w14:paraId="00000341">
      <w:pPr>
        <w:pStyle w:val="Heading3"/>
        <w:spacing w:after="80" w:before="320" w:lineRule="auto"/>
        <w:ind w:left="0" w:right="-40.8661417322827" w:firstLine="0"/>
        <w:rPr>
          <w:color w:val="434343"/>
          <w:sz w:val="28"/>
          <w:szCs w:val="28"/>
          <w:u w:val="single"/>
        </w:rPr>
      </w:pPr>
      <w:bookmarkStart w:colFirst="0" w:colLast="0" w:name="_rql1ev9vs8ov" w:id="49"/>
      <w:bookmarkEnd w:id="49"/>
      <w:r w:rsidDel="00000000" w:rsidR="00000000" w:rsidRPr="00000000">
        <w:rPr>
          <w:rtl w:val="0"/>
        </w:rPr>
      </w:r>
    </w:p>
    <w:p w:rsidR="00000000" w:rsidDel="00000000" w:rsidP="00000000" w:rsidRDefault="00000000" w:rsidRPr="00000000" w14:paraId="0000034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 &lt; nom de l'entrepôt &gt; fait l’objet de mesures de sécurité appropriées en considération des risques que le traitement présente. Ces mesures se déclinent sur le plan technique comme organisationnel : </w:t>
      </w:r>
    </w:p>
    <w:p w:rsidR="00000000" w:rsidDel="00000000" w:rsidP="00000000" w:rsidRDefault="00000000" w:rsidRPr="00000000" w14:paraId="00000343">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Chiffrement ;</w:t>
      </w:r>
    </w:p>
    <w:p w:rsidR="00000000" w:rsidDel="00000000" w:rsidP="00000000" w:rsidRDefault="00000000" w:rsidRPr="00000000" w14:paraId="00000344">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Anonymisation ;</w:t>
      </w:r>
    </w:p>
    <w:p w:rsidR="00000000" w:rsidDel="00000000" w:rsidP="00000000" w:rsidRDefault="00000000" w:rsidRPr="00000000" w14:paraId="00000345">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Cloisonnement ;</w:t>
      </w:r>
    </w:p>
    <w:p w:rsidR="00000000" w:rsidDel="00000000" w:rsidP="00000000" w:rsidRDefault="00000000" w:rsidRPr="00000000" w14:paraId="00000346">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Contrôle des accès logiques ;</w:t>
      </w:r>
    </w:p>
    <w:p w:rsidR="00000000" w:rsidDel="00000000" w:rsidP="00000000" w:rsidRDefault="00000000" w:rsidRPr="00000000" w14:paraId="00000347">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Journalisation ;</w:t>
      </w:r>
    </w:p>
    <w:p w:rsidR="00000000" w:rsidDel="00000000" w:rsidP="00000000" w:rsidRDefault="00000000" w:rsidRPr="00000000" w14:paraId="00000348">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Contrôle d’intégrité ;</w:t>
      </w:r>
    </w:p>
    <w:p w:rsidR="00000000" w:rsidDel="00000000" w:rsidP="00000000" w:rsidRDefault="00000000" w:rsidRPr="00000000" w14:paraId="00000349">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Archivage ;</w:t>
      </w:r>
    </w:p>
    <w:p w:rsidR="00000000" w:rsidDel="00000000" w:rsidP="00000000" w:rsidRDefault="00000000" w:rsidRPr="00000000" w14:paraId="0000034A">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Pseudonymisation ;</w:t>
      </w:r>
    </w:p>
    <w:p w:rsidR="00000000" w:rsidDel="00000000" w:rsidP="00000000" w:rsidRDefault="00000000" w:rsidRPr="00000000" w14:paraId="0000034B">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Sécurité de l’exploitation ;</w:t>
      </w:r>
    </w:p>
    <w:p w:rsidR="00000000" w:rsidDel="00000000" w:rsidP="00000000" w:rsidRDefault="00000000" w:rsidRPr="00000000" w14:paraId="0000034C">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Lutte contre les logiciels malveillants ;</w:t>
      </w:r>
    </w:p>
    <w:p w:rsidR="00000000" w:rsidDel="00000000" w:rsidP="00000000" w:rsidRDefault="00000000" w:rsidRPr="00000000" w14:paraId="0000034D">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Sauvegardes ;</w:t>
      </w:r>
    </w:p>
    <w:p w:rsidR="00000000" w:rsidDel="00000000" w:rsidP="00000000" w:rsidRDefault="00000000" w:rsidRPr="00000000" w14:paraId="0000034E">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Maintenance ;</w:t>
      </w:r>
    </w:p>
    <w:p w:rsidR="00000000" w:rsidDel="00000000" w:rsidP="00000000" w:rsidRDefault="00000000" w:rsidRPr="00000000" w14:paraId="0000034F">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Sécurité des canaux informatiques ;</w:t>
      </w:r>
    </w:p>
    <w:p w:rsidR="00000000" w:rsidDel="00000000" w:rsidP="00000000" w:rsidRDefault="00000000" w:rsidRPr="00000000" w14:paraId="00000350">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Sécurité physique ;</w:t>
      </w:r>
    </w:p>
    <w:p w:rsidR="00000000" w:rsidDel="00000000" w:rsidP="00000000" w:rsidRDefault="00000000" w:rsidRPr="00000000" w14:paraId="00000351">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Traçabilité ;</w:t>
      </w:r>
    </w:p>
    <w:p w:rsidR="00000000" w:rsidDel="00000000" w:rsidP="00000000" w:rsidRDefault="00000000" w:rsidRPr="00000000" w14:paraId="00000352">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Sécurité du matériel ;</w:t>
      </w:r>
    </w:p>
    <w:p w:rsidR="00000000" w:rsidDel="00000000" w:rsidP="00000000" w:rsidRDefault="00000000" w:rsidRPr="00000000" w14:paraId="00000353">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Eloignement des sources de risque ;</w:t>
      </w:r>
    </w:p>
    <w:p w:rsidR="00000000" w:rsidDel="00000000" w:rsidP="00000000" w:rsidRDefault="00000000" w:rsidRPr="00000000" w14:paraId="00000354">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Protection contre les sources de risque non humaines ;</w:t>
      </w:r>
    </w:p>
    <w:p w:rsidR="00000000" w:rsidDel="00000000" w:rsidP="00000000" w:rsidRDefault="00000000" w:rsidRPr="00000000" w14:paraId="00000355">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Organisation ;</w:t>
      </w:r>
    </w:p>
    <w:p w:rsidR="00000000" w:rsidDel="00000000" w:rsidP="00000000" w:rsidRDefault="00000000" w:rsidRPr="00000000" w14:paraId="00000356">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Politique de sécurité des systèmes d’information (PSSI) ;</w:t>
      </w:r>
    </w:p>
    <w:p w:rsidR="00000000" w:rsidDel="00000000" w:rsidP="00000000" w:rsidRDefault="00000000" w:rsidRPr="00000000" w14:paraId="00000357">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Gestion des risques ;</w:t>
      </w:r>
    </w:p>
    <w:p w:rsidR="00000000" w:rsidDel="00000000" w:rsidP="00000000" w:rsidRDefault="00000000" w:rsidRPr="00000000" w14:paraId="00000358">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Intégration de la vie privée dans les projets ;</w:t>
      </w:r>
    </w:p>
    <w:p w:rsidR="00000000" w:rsidDel="00000000" w:rsidP="00000000" w:rsidRDefault="00000000" w:rsidRPr="00000000" w14:paraId="00000359">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Gestion des incidents de sécurité ;</w:t>
      </w:r>
    </w:p>
    <w:p w:rsidR="00000000" w:rsidDel="00000000" w:rsidP="00000000" w:rsidRDefault="00000000" w:rsidRPr="00000000" w14:paraId="0000035A">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Gestion des personnels ;</w:t>
      </w:r>
    </w:p>
    <w:p w:rsidR="00000000" w:rsidDel="00000000" w:rsidP="00000000" w:rsidRDefault="00000000" w:rsidRPr="00000000" w14:paraId="0000035B">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Gestion des relations avec les tiers ;</w:t>
      </w:r>
    </w:p>
    <w:p w:rsidR="00000000" w:rsidDel="00000000" w:rsidP="00000000" w:rsidRDefault="00000000" w:rsidRPr="00000000" w14:paraId="0000035C">
      <w:pPr>
        <w:numPr>
          <w:ilvl w:val="0"/>
          <w:numId w:val="22"/>
        </w:numPr>
        <w:spacing w:line="240" w:lineRule="auto"/>
        <w:ind w:left="720" w:right="-40.8661417322827" w:hanging="360"/>
        <w:jc w:val="both"/>
        <w:rPr>
          <w:rFonts w:ascii="Tahoma" w:cs="Tahoma" w:eastAsia="Tahoma" w:hAnsi="Tahoma"/>
        </w:rPr>
      </w:pPr>
      <w:r w:rsidDel="00000000" w:rsidR="00000000" w:rsidRPr="00000000">
        <w:rPr>
          <w:rFonts w:ascii="Tahoma" w:cs="Tahoma" w:eastAsia="Tahoma" w:hAnsi="Tahoma"/>
          <w:rtl w:val="0"/>
        </w:rPr>
        <w:t xml:space="preserve">Supervision de la protection de la vie privée.</w:t>
      </w:r>
    </w:p>
    <w:p w:rsidR="00000000" w:rsidDel="00000000" w:rsidP="00000000" w:rsidRDefault="00000000" w:rsidRPr="00000000" w14:paraId="0000035D">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35E">
      <w:pPr>
        <w:ind w:right="-40.8661417322827"/>
        <w:rPr>
          <w:rFonts w:ascii="Tahoma" w:cs="Tahoma" w:eastAsia="Tahoma" w:hAnsi="Tahoma"/>
        </w:rPr>
      </w:pPr>
      <w:r w:rsidDel="00000000" w:rsidR="00000000" w:rsidRPr="00000000">
        <w:rPr>
          <w:rFonts w:ascii="Tahoma" w:cs="Tahoma" w:eastAsia="Tahoma" w:hAnsi="Tahoma"/>
          <w:rtl w:val="0"/>
        </w:rPr>
        <w:t xml:space="preserve">L’ensemble de ces mesures est détaillé dans l’AIPD de l’EDS.</w:t>
      </w:r>
    </w:p>
    <w:p w:rsidR="00000000" w:rsidDel="00000000" w:rsidP="00000000" w:rsidRDefault="00000000" w:rsidRPr="00000000" w14:paraId="0000035F">
      <w:pPr>
        <w:ind w:right="-40.8661417322827"/>
        <w:rPr>
          <w:rFonts w:ascii="Tahoma" w:cs="Tahoma" w:eastAsia="Tahoma" w:hAnsi="Tahoma"/>
        </w:rPr>
      </w:pPr>
      <w:r w:rsidDel="00000000" w:rsidR="00000000" w:rsidRPr="00000000">
        <w:rPr>
          <w:rtl w:val="0"/>
        </w:rPr>
      </w:r>
    </w:p>
    <w:p w:rsidR="00000000" w:rsidDel="00000000" w:rsidP="00000000" w:rsidRDefault="00000000" w:rsidRPr="00000000" w14:paraId="00000360">
      <w:pPr>
        <w:pStyle w:val="Heading3"/>
        <w:numPr>
          <w:ilvl w:val="2"/>
          <w:numId w:val="7"/>
        </w:numPr>
        <w:spacing w:after="80" w:before="320" w:lineRule="auto"/>
        <w:ind w:right="-40.8661417322827"/>
        <w:rPr>
          <w:rFonts w:ascii="Tahoma" w:cs="Tahoma" w:eastAsia="Tahoma" w:hAnsi="Tahoma"/>
          <w:color w:val="434343"/>
          <w:sz w:val="28"/>
          <w:szCs w:val="28"/>
        </w:rPr>
      </w:pPr>
      <w:bookmarkStart w:colFirst="0" w:colLast="0" w:name="_l41z5uoviitx" w:id="50"/>
      <w:bookmarkEnd w:id="50"/>
      <w:r w:rsidDel="00000000" w:rsidR="00000000" w:rsidRPr="00000000">
        <w:rPr>
          <w:color w:val="434343"/>
          <w:sz w:val="28"/>
          <w:szCs w:val="28"/>
          <w:u w:val="single"/>
          <w:rtl w:val="0"/>
        </w:rPr>
        <w:t xml:space="preserve">C</w:t>
      </w:r>
      <w:r w:rsidDel="00000000" w:rsidR="00000000" w:rsidRPr="00000000">
        <w:rPr>
          <w:color w:val="000000"/>
          <w:sz w:val="28"/>
          <w:szCs w:val="28"/>
          <w:u w:val="single"/>
          <w:rtl w:val="0"/>
        </w:rPr>
        <w:t xml:space="preserve">onservation des données</w:t>
      </w:r>
      <w:r w:rsidDel="00000000" w:rsidR="00000000" w:rsidRPr="00000000">
        <w:rPr>
          <w:rtl w:val="0"/>
        </w:rPr>
      </w:r>
    </w:p>
    <w:p w:rsidR="00000000" w:rsidDel="00000000" w:rsidP="00000000" w:rsidRDefault="00000000" w:rsidRPr="00000000" w14:paraId="00000361">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62">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Les données cliniques contenues dans l’EDS seront conservées pour une durée de 20 ans à compter de leur collecte dans le cadre du soin et les données de la base principale du SNDS seront conservées pour une durée de 20 ans à compter de leur versement dans l’EDS, ce qui permettra de répondre à la nécessité d’avoir un suivi longitudinal important pour la réalisation d’études épidémiologiques et pharmacologiques d’intérêt. Une fois ces délais expirés, les données seront supprimées de l’EDS pour laisser place à la réception d’un nouveau jeu de données, à l’occasion de la mise à jour annuelle de l’EDS.  </w:t>
      </w:r>
    </w:p>
    <w:p w:rsidR="00000000" w:rsidDel="00000000" w:rsidP="00000000" w:rsidRDefault="00000000" w:rsidRPr="00000000" w14:paraId="00000363">
      <w:pPr>
        <w:spacing w:line="240" w:lineRule="auto"/>
        <w:ind w:right="-40.8661417322827"/>
        <w:jc w:val="both"/>
        <w:rPr>
          <w:rFonts w:ascii="Tahoma" w:cs="Tahoma" w:eastAsia="Tahoma" w:hAnsi="Tahoma"/>
        </w:rPr>
      </w:pPr>
      <w:r w:rsidDel="00000000" w:rsidR="00000000" w:rsidRPr="00000000">
        <w:rPr>
          <w:rtl w:val="0"/>
        </w:rPr>
      </w:r>
    </w:p>
    <w:p w:rsidR="00000000" w:rsidDel="00000000" w:rsidP="00000000" w:rsidRDefault="00000000" w:rsidRPr="00000000" w14:paraId="00000364">
      <w:pPr>
        <w:pStyle w:val="Heading1"/>
        <w:spacing w:after="120" w:before="0" w:lineRule="auto"/>
        <w:ind w:left="0" w:right="-40.8661417322827" w:firstLine="0"/>
        <w:rPr>
          <w:sz w:val="36"/>
          <w:szCs w:val="36"/>
        </w:rPr>
      </w:pPr>
      <w:bookmarkStart w:colFirst="0" w:colLast="0" w:name="_vo4x3f763zsr" w:id="51"/>
      <w:bookmarkEnd w:id="51"/>
      <w:r w:rsidDel="00000000" w:rsidR="00000000" w:rsidRPr="00000000">
        <w:br w:type="page"/>
      </w:r>
      <w:r w:rsidDel="00000000" w:rsidR="00000000" w:rsidRPr="00000000">
        <w:rPr>
          <w:rtl w:val="0"/>
        </w:rPr>
      </w:r>
    </w:p>
    <w:p w:rsidR="00000000" w:rsidDel="00000000" w:rsidP="00000000" w:rsidRDefault="00000000" w:rsidRPr="00000000" w14:paraId="00000365">
      <w:pPr>
        <w:pStyle w:val="Heading1"/>
        <w:spacing w:after="120" w:before="0" w:lineRule="auto"/>
        <w:ind w:left="0" w:right="-40.8661417322827" w:firstLine="0"/>
        <w:rPr>
          <w:sz w:val="36"/>
          <w:szCs w:val="36"/>
        </w:rPr>
      </w:pPr>
      <w:bookmarkStart w:colFirst="0" w:colLast="0" w:name="_snih61c21n1n" w:id="52"/>
      <w:bookmarkEnd w:id="52"/>
      <w:r w:rsidDel="00000000" w:rsidR="00000000" w:rsidRPr="00000000">
        <w:rPr>
          <w:sz w:val="36"/>
          <w:szCs w:val="36"/>
          <w:rtl w:val="0"/>
        </w:rPr>
        <w:t xml:space="preserve">Annexes : </w:t>
      </w:r>
    </w:p>
    <w:p w:rsidR="00000000" w:rsidDel="00000000" w:rsidP="00000000" w:rsidRDefault="00000000" w:rsidRPr="00000000" w14:paraId="00000366">
      <w:pPr>
        <w:pStyle w:val="Heading2"/>
        <w:spacing w:after="120" w:before="360" w:line="240" w:lineRule="auto"/>
        <w:ind w:right="-40.8661417322827"/>
        <w:jc w:val="both"/>
        <w:rPr>
          <w:b w:val="0"/>
          <w:bCs w:val="0"/>
          <w:sz w:val="28"/>
          <w:szCs w:val="28"/>
        </w:rPr>
      </w:pPr>
      <w:bookmarkStart w:colFirst="0" w:colLast="0" w:name="_sztfq4idgcj9" w:id="53"/>
      <w:bookmarkEnd w:id="53"/>
      <w:r w:rsidDel="00000000" w:rsidR="00000000" w:rsidRPr="00000000">
        <w:rPr>
          <w:b w:val="0"/>
          <w:bCs w:val="0"/>
          <w:sz w:val="28"/>
          <w:szCs w:val="28"/>
          <w:rtl w:val="0"/>
        </w:rPr>
        <w:t xml:space="preserve">Annexe 1 : Calendrier de mise en oeuvre de l’EDS </w:t>
      </w:r>
    </w:p>
    <w:p w:rsidR="00000000" w:rsidDel="00000000" w:rsidP="00000000" w:rsidRDefault="00000000" w:rsidRPr="00000000" w14:paraId="00000367">
      <w:pPr>
        <w:pStyle w:val="Heading2"/>
        <w:spacing w:after="120" w:before="360" w:line="240" w:lineRule="auto"/>
        <w:ind w:right="-40.8661417322827"/>
        <w:jc w:val="both"/>
        <w:rPr>
          <w:b w:val="0"/>
          <w:bCs w:val="0"/>
          <w:sz w:val="28"/>
          <w:szCs w:val="28"/>
        </w:rPr>
      </w:pPr>
      <w:bookmarkStart w:colFirst="0" w:colLast="0" w:name="_9z3fdaldqsvj" w:id="54"/>
      <w:bookmarkEnd w:id="54"/>
      <w:r w:rsidDel="00000000" w:rsidR="00000000" w:rsidRPr="00000000">
        <w:rPr>
          <w:b w:val="0"/>
          <w:bCs w:val="0"/>
          <w:sz w:val="28"/>
          <w:szCs w:val="28"/>
          <w:rtl w:val="0"/>
        </w:rPr>
        <w:br w:type="textWrapping"/>
        <w:t xml:space="preserve">Annexe 2 : Liste des financeurs de l’étude</w:t>
      </w:r>
    </w:p>
    <w:p w:rsidR="00000000" w:rsidDel="00000000" w:rsidP="00000000" w:rsidRDefault="00000000" w:rsidRPr="00000000" w14:paraId="00000368">
      <w:pPr>
        <w:pStyle w:val="Heading2"/>
        <w:spacing w:after="120" w:before="360" w:line="240" w:lineRule="auto"/>
        <w:ind w:right="-40.8661417322827"/>
        <w:jc w:val="both"/>
        <w:rPr>
          <w:b w:val="0"/>
          <w:bCs w:val="0"/>
          <w:sz w:val="28"/>
          <w:szCs w:val="28"/>
        </w:rPr>
      </w:pPr>
      <w:bookmarkStart w:colFirst="0" w:colLast="0" w:name="_d136ii3xvsii" w:id="55"/>
      <w:bookmarkEnd w:id="55"/>
      <w:r w:rsidDel="00000000" w:rsidR="00000000" w:rsidRPr="00000000">
        <w:rPr>
          <w:b w:val="0"/>
          <w:bCs w:val="0"/>
          <w:sz w:val="28"/>
          <w:szCs w:val="28"/>
          <w:rtl w:val="0"/>
        </w:rPr>
        <w:br w:type="textWrapping"/>
        <w:t xml:space="preserve">Annexe 3 : Expression de besoin SNDS</w:t>
      </w:r>
    </w:p>
    <w:p w:rsidR="00000000" w:rsidDel="00000000" w:rsidP="00000000" w:rsidRDefault="00000000" w:rsidRPr="00000000" w14:paraId="00000369">
      <w:pPr>
        <w:pStyle w:val="Heading2"/>
        <w:spacing w:after="120" w:before="360" w:line="240" w:lineRule="auto"/>
        <w:ind w:right="-40.8661417322827"/>
        <w:jc w:val="both"/>
        <w:rPr>
          <w:b w:val="0"/>
          <w:bCs w:val="0"/>
          <w:sz w:val="28"/>
          <w:szCs w:val="28"/>
        </w:rPr>
      </w:pPr>
      <w:bookmarkStart w:colFirst="0" w:colLast="0" w:name="_wt92pp1z6py7" w:id="56"/>
      <w:bookmarkEnd w:id="56"/>
      <w:r w:rsidDel="00000000" w:rsidR="00000000" w:rsidRPr="00000000">
        <w:rPr>
          <w:b w:val="0"/>
          <w:bCs w:val="0"/>
          <w:sz w:val="28"/>
          <w:szCs w:val="28"/>
          <w:rtl w:val="0"/>
        </w:rPr>
        <w:br w:type="textWrapping"/>
        <w:t xml:space="preserve">Annexe 4 : Notes d’information aux personnes concernées</w:t>
      </w:r>
    </w:p>
    <w:p w:rsidR="00000000" w:rsidDel="00000000" w:rsidP="00000000" w:rsidRDefault="00000000" w:rsidRPr="00000000" w14:paraId="0000036A">
      <w:pPr>
        <w:pStyle w:val="Heading3"/>
        <w:spacing w:after="80" w:before="320" w:lineRule="auto"/>
        <w:ind w:left="425.19685039370086" w:right="-40.8661417322827" w:hanging="360"/>
        <w:rPr>
          <w:color w:val="434343"/>
          <w:sz w:val="22"/>
          <w:szCs w:val="22"/>
          <w:u w:val="single"/>
        </w:rPr>
      </w:pPr>
      <w:bookmarkStart w:colFirst="0" w:colLast="0" w:name="_3l9hggw8rui3" w:id="57"/>
      <w:bookmarkEnd w:id="57"/>
      <w:r w:rsidDel="00000000" w:rsidR="00000000" w:rsidRPr="00000000">
        <w:rPr>
          <w:color w:val="434343"/>
          <w:sz w:val="22"/>
          <w:szCs w:val="22"/>
          <w:rtl w:val="0"/>
        </w:rPr>
        <w:t xml:space="preserve">Annexe 4.1 Note d’information individuelle à destination des patients adultes</w:t>
      </w:r>
      <w:r w:rsidDel="00000000" w:rsidR="00000000" w:rsidRPr="00000000">
        <w:rPr>
          <w:rtl w:val="0"/>
        </w:rPr>
      </w:r>
    </w:p>
    <w:p w:rsidR="00000000" w:rsidDel="00000000" w:rsidP="00000000" w:rsidRDefault="00000000" w:rsidRPr="00000000" w14:paraId="0000036B">
      <w:pPr>
        <w:pStyle w:val="Heading3"/>
        <w:spacing w:after="80" w:before="320" w:lineRule="auto"/>
        <w:ind w:left="425.19685039370086" w:right="-40.8661417322827" w:hanging="360"/>
        <w:rPr>
          <w:i w:val="1"/>
          <w:iCs w:val="1"/>
          <w:color w:val="434343"/>
          <w:sz w:val="22"/>
          <w:szCs w:val="22"/>
          <w:highlight w:val="yellow"/>
        </w:rPr>
      </w:pPr>
      <w:bookmarkStart w:colFirst="0" w:colLast="0" w:name="_w3qkraev2uqy" w:id="58"/>
      <w:bookmarkEnd w:id="58"/>
      <w:r w:rsidDel="00000000" w:rsidR="00000000" w:rsidRPr="00000000">
        <w:rPr>
          <w:color w:val="434343"/>
          <w:sz w:val="22"/>
          <w:szCs w:val="22"/>
          <w:rtl w:val="0"/>
        </w:rPr>
        <w:t xml:space="preserve">Annexe 4.2 Note d’information individuelle à destination des patients mineurs </w:t>
      </w:r>
      <w:r w:rsidDel="00000000" w:rsidR="00000000" w:rsidRPr="00000000">
        <w:rPr>
          <w:rtl w:val="0"/>
        </w:rPr>
      </w:r>
    </w:p>
    <w:p w:rsidR="00000000" w:rsidDel="00000000" w:rsidP="00000000" w:rsidRDefault="00000000" w:rsidRPr="00000000" w14:paraId="0000036C">
      <w:pPr>
        <w:pStyle w:val="Heading3"/>
        <w:spacing w:after="80" w:before="320" w:lineRule="auto"/>
        <w:ind w:left="425.19685039370086" w:right="-40.8661417322827" w:hanging="360"/>
        <w:rPr>
          <w:color w:val="434343"/>
          <w:sz w:val="28"/>
          <w:szCs w:val="28"/>
          <w:u w:val="single"/>
        </w:rPr>
      </w:pPr>
      <w:bookmarkStart w:colFirst="0" w:colLast="0" w:name="_8n0rmn9lwvj0" w:id="59"/>
      <w:bookmarkEnd w:id="59"/>
      <w:r w:rsidDel="00000000" w:rsidR="00000000" w:rsidRPr="00000000">
        <w:rPr>
          <w:color w:val="434343"/>
          <w:sz w:val="22"/>
          <w:szCs w:val="22"/>
          <w:rtl w:val="0"/>
        </w:rPr>
        <w:t xml:space="preserve">Annexe 4.3 Note d’information individuelle à destination des titulaires de l’autorité parentale des patients mineurs</w:t>
      </w:r>
      <w:r w:rsidDel="00000000" w:rsidR="00000000" w:rsidRPr="00000000">
        <w:rPr>
          <w:rtl w:val="0"/>
        </w:rPr>
      </w:r>
    </w:p>
    <w:p w:rsidR="00000000" w:rsidDel="00000000" w:rsidP="00000000" w:rsidRDefault="00000000" w:rsidRPr="00000000" w14:paraId="0000036D">
      <w:pPr>
        <w:pStyle w:val="Heading3"/>
        <w:spacing w:after="80" w:before="320" w:lineRule="auto"/>
        <w:ind w:left="425.19685039370086" w:right="-40.8661417322827" w:hanging="360"/>
        <w:rPr>
          <w:color w:val="434343"/>
          <w:sz w:val="22"/>
          <w:szCs w:val="22"/>
          <w:u w:val="single"/>
        </w:rPr>
      </w:pPr>
      <w:bookmarkStart w:colFirst="0" w:colLast="0" w:name="_u03tu6gj4j46" w:id="60"/>
      <w:bookmarkEnd w:id="60"/>
      <w:r w:rsidDel="00000000" w:rsidR="00000000" w:rsidRPr="00000000">
        <w:rPr>
          <w:color w:val="434343"/>
          <w:sz w:val="22"/>
          <w:szCs w:val="22"/>
          <w:rtl w:val="0"/>
        </w:rPr>
        <w:t xml:space="preserve">Annexe 4.4 Note d’information individuelle à destination des professionnels de santé</w:t>
      </w:r>
      <w:r w:rsidDel="00000000" w:rsidR="00000000" w:rsidRPr="00000000">
        <w:rPr>
          <w:rtl w:val="0"/>
        </w:rPr>
      </w:r>
    </w:p>
    <w:p w:rsidR="00000000" w:rsidDel="00000000" w:rsidP="00000000" w:rsidRDefault="00000000" w:rsidRPr="00000000" w14:paraId="0000036E">
      <w:pPr>
        <w:pStyle w:val="Heading3"/>
        <w:spacing w:after="80" w:before="320" w:lineRule="auto"/>
        <w:ind w:left="425.19685039370086" w:right="-40.8661417322827" w:hanging="360"/>
        <w:rPr>
          <w:color w:val="434343"/>
          <w:sz w:val="28"/>
          <w:szCs w:val="28"/>
          <w:u w:val="single"/>
        </w:rPr>
      </w:pPr>
      <w:bookmarkStart w:colFirst="0" w:colLast="0" w:name="_czc7h9uct5ru" w:id="61"/>
      <w:bookmarkEnd w:id="61"/>
      <w:r w:rsidDel="00000000" w:rsidR="00000000" w:rsidRPr="00000000">
        <w:rPr>
          <w:color w:val="434343"/>
          <w:sz w:val="22"/>
          <w:szCs w:val="22"/>
          <w:rtl w:val="0"/>
        </w:rPr>
        <w:t xml:space="preserve">Annexe 4.5 Note d’information collective à destination des patients adultes </w:t>
      </w:r>
      <w:r w:rsidDel="00000000" w:rsidR="00000000" w:rsidRPr="00000000">
        <w:rPr>
          <w:rtl w:val="0"/>
        </w:rPr>
      </w:r>
    </w:p>
    <w:p w:rsidR="00000000" w:rsidDel="00000000" w:rsidP="00000000" w:rsidRDefault="00000000" w:rsidRPr="00000000" w14:paraId="0000036F">
      <w:pPr>
        <w:pStyle w:val="Heading3"/>
        <w:spacing w:after="80" w:before="320" w:lineRule="auto"/>
        <w:ind w:left="425.19685039370086" w:right="-40.8661417322827" w:hanging="360"/>
        <w:rPr>
          <w:color w:val="434343"/>
          <w:sz w:val="22"/>
          <w:szCs w:val="22"/>
        </w:rPr>
      </w:pPr>
      <w:bookmarkStart w:colFirst="0" w:colLast="0" w:name="_xkndminfkzm" w:id="62"/>
      <w:bookmarkEnd w:id="62"/>
      <w:r w:rsidDel="00000000" w:rsidR="00000000" w:rsidRPr="00000000">
        <w:rPr>
          <w:color w:val="434343"/>
          <w:sz w:val="22"/>
          <w:szCs w:val="22"/>
          <w:rtl w:val="0"/>
        </w:rPr>
        <w:t xml:space="preserve">Annexe 4.6 Note d’information collective à destination des patients mineurs </w:t>
      </w:r>
    </w:p>
    <w:p w:rsidR="00000000" w:rsidDel="00000000" w:rsidP="00000000" w:rsidRDefault="00000000" w:rsidRPr="00000000" w14:paraId="00000370">
      <w:pPr>
        <w:pStyle w:val="Heading3"/>
        <w:spacing w:after="80" w:before="320" w:lineRule="auto"/>
        <w:ind w:left="425.19685039370086" w:right="-40.8661417322827" w:hanging="360"/>
        <w:rPr>
          <w:color w:val="434343"/>
          <w:sz w:val="22"/>
          <w:szCs w:val="22"/>
        </w:rPr>
      </w:pPr>
      <w:bookmarkStart w:colFirst="0" w:colLast="0" w:name="_hw7yr0bkvsyf" w:id="63"/>
      <w:bookmarkEnd w:id="63"/>
      <w:r w:rsidDel="00000000" w:rsidR="00000000" w:rsidRPr="00000000">
        <w:rPr>
          <w:color w:val="434343"/>
          <w:sz w:val="22"/>
          <w:szCs w:val="22"/>
          <w:rtl w:val="0"/>
        </w:rPr>
        <w:t xml:space="preserve">Annexe 4.7 Note d’information collective à destination des titulaires de l’autorité parentale des patients mineurs </w:t>
      </w:r>
    </w:p>
    <w:p w:rsidR="00000000" w:rsidDel="00000000" w:rsidP="00000000" w:rsidRDefault="00000000" w:rsidRPr="00000000" w14:paraId="00000371">
      <w:pPr>
        <w:pStyle w:val="Heading3"/>
        <w:spacing w:after="80" w:before="320" w:lineRule="auto"/>
        <w:ind w:left="425.19685039370086" w:right="-40.8661417322827" w:hanging="360"/>
        <w:rPr>
          <w:color w:val="434343"/>
          <w:sz w:val="22"/>
          <w:szCs w:val="22"/>
        </w:rPr>
      </w:pPr>
      <w:bookmarkStart w:colFirst="0" w:colLast="0" w:name="_w0gp9zel9a8d" w:id="64"/>
      <w:bookmarkEnd w:id="64"/>
      <w:r w:rsidDel="00000000" w:rsidR="00000000" w:rsidRPr="00000000">
        <w:rPr>
          <w:color w:val="434343"/>
          <w:sz w:val="22"/>
          <w:szCs w:val="22"/>
          <w:rtl w:val="0"/>
        </w:rPr>
        <w:t xml:space="preserve">Annexe 4.8 Note d’information collective à destination des professionnels de santé</w:t>
      </w:r>
    </w:p>
    <w:p w:rsidR="00000000" w:rsidDel="00000000" w:rsidP="00000000" w:rsidRDefault="00000000" w:rsidRPr="00000000" w14:paraId="00000372">
      <w:pPr>
        <w:rPr/>
      </w:pPr>
      <w:r w:rsidDel="00000000" w:rsidR="00000000" w:rsidRPr="00000000">
        <w:rPr>
          <w:rtl w:val="0"/>
        </w:rPr>
      </w:r>
    </w:p>
    <w:p w:rsidR="00000000" w:rsidDel="00000000" w:rsidP="00000000" w:rsidRDefault="00000000" w:rsidRPr="00000000" w14:paraId="00000373">
      <w:pPr>
        <w:pStyle w:val="Heading2"/>
        <w:spacing w:after="120" w:before="360" w:lineRule="auto"/>
        <w:ind w:right="-40.8661417322827"/>
        <w:rPr>
          <w:b w:val="0"/>
          <w:bCs w:val="0"/>
          <w:sz w:val="28"/>
          <w:szCs w:val="28"/>
        </w:rPr>
      </w:pPr>
      <w:bookmarkStart w:colFirst="0" w:colLast="0" w:name="_3v5f0kitivzw" w:id="65"/>
      <w:bookmarkEnd w:id="65"/>
      <w:r w:rsidDel="00000000" w:rsidR="00000000" w:rsidRPr="00000000">
        <w:rPr>
          <w:b w:val="0"/>
          <w:bCs w:val="0"/>
          <w:sz w:val="28"/>
          <w:szCs w:val="28"/>
          <w:rtl w:val="0"/>
        </w:rPr>
        <w:t xml:space="preserve">Annexe 5 : Minimum set de données à collecter dans l’EDS</w:t>
      </w:r>
    </w:p>
    <w:p w:rsidR="00000000" w:rsidDel="00000000" w:rsidP="00000000" w:rsidRDefault="00000000" w:rsidRPr="00000000" w14:paraId="00000374">
      <w:pPr>
        <w:spacing w:line="240" w:lineRule="auto"/>
        <w:ind w:right="-40.8661417322827"/>
        <w:jc w:val="both"/>
        <w:rPr>
          <w:rFonts w:ascii="Tahoma" w:cs="Tahoma" w:eastAsia="Tahoma" w:hAnsi="Tahoma"/>
        </w:rPr>
      </w:pPr>
      <w:r w:rsidDel="00000000" w:rsidR="00000000" w:rsidRPr="00000000">
        <w:rPr>
          <w:rFonts w:ascii="Tahoma" w:cs="Tahoma" w:eastAsia="Tahoma" w:hAnsi="Tahoma"/>
          <w:rtl w:val="0"/>
        </w:rPr>
        <w:t xml:space="preserve">Liste des variables collectées</w:t>
      </w:r>
    </w:p>
    <w:p w:rsidR="00000000" w:rsidDel="00000000" w:rsidP="00000000" w:rsidRDefault="00000000" w:rsidRPr="00000000" w14:paraId="00000375">
      <w:pPr>
        <w:spacing w:line="240" w:lineRule="auto"/>
        <w:ind w:left="0" w:firstLine="0"/>
        <w:jc w:val="both"/>
        <w:rPr>
          <w:rFonts w:ascii="Tahoma" w:cs="Tahoma" w:eastAsia="Tahoma" w:hAnsi="Tahoma"/>
        </w:rPr>
        <w:sectPr>
          <w:type w:val="nextPage"/>
          <w:pgSz w:h="16834" w:w="11909"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376">
      <w:pPr>
        <w:spacing w:line="240" w:lineRule="auto"/>
        <w:ind w:left="0"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377">
      <w:pPr>
        <w:spacing w:line="240" w:lineRule="auto"/>
        <w:jc w:val="both"/>
        <w:rPr>
          <w:rFonts w:ascii="Tahoma" w:cs="Tahoma" w:eastAsia="Tahoma" w:hAnsi="Tahoma"/>
        </w:rPr>
      </w:pPr>
      <w:r w:rsidDel="00000000" w:rsidR="00000000" w:rsidRPr="00000000">
        <w:rPr>
          <w:rtl w:val="0"/>
        </w:rPr>
      </w:r>
    </w:p>
    <w:sectPr>
      <w:type w:val="continuous"/>
      <w:pgSz w:h="16834" w:w="11909" w:orient="portrait"/>
      <w:pgMar w:bottom="1440" w:top="1440" w:left="1440" w:right="1440" w:header="720" w:footer="1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A">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B">
    <w:pPr>
      <w:tabs>
        <w:tab w:val="center" w:leader="none" w:pos="4536"/>
        <w:tab w:val="right" w:leader="none" w:pos="9072"/>
      </w:tabs>
      <w:spacing w:line="240" w:lineRule="auto"/>
      <w:jc w:val="right"/>
      <w:rPr>
        <w:rFonts w:ascii="Tahoma" w:cs="Tahoma" w:eastAsia="Tahoma" w:hAnsi="Tahoma"/>
        <w:sz w:val="16"/>
        <w:szCs w:val="16"/>
      </w:rPr>
    </w:pPr>
    <w:r w:rsidDel="00000000" w:rsidR="00000000" w:rsidRPr="00000000">
      <w:rPr>
        <w:rFonts w:ascii="Tahoma" w:cs="Tahoma" w:eastAsia="Tahoma" w:hAnsi="Tahoma"/>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7C">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p w:rsidR="00000000" w:rsidDel="00000000" w:rsidP="00000000" w:rsidRDefault="00000000" w:rsidRPr="00000000" w14:paraId="0000037D">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7E">
      <w:pPr>
        <w:spacing w:line="240" w:lineRule="auto"/>
        <w:rPr>
          <w:rFonts w:ascii="Tahoma" w:cs="Tahoma" w:eastAsia="Tahoma" w:hAnsi="Tahoma"/>
          <w:sz w:val="20"/>
          <w:szCs w:val="20"/>
        </w:rPr>
      </w:pPr>
      <w:r w:rsidDel="00000000" w:rsidR="00000000" w:rsidRPr="00000000">
        <w:rPr>
          <w:rStyle w:val="FootnoteReference"/>
          <w:vertAlign w:val="superscript"/>
        </w:rPr>
        <w:footnoteRef/>
      </w:r>
      <w:r w:rsidDel="00000000" w:rsidR="00000000" w:rsidRPr="00000000">
        <w:rPr>
          <w:rFonts w:ascii="Tahoma" w:cs="Tahoma" w:eastAsia="Tahoma" w:hAnsi="Tahoma"/>
          <w:sz w:val="20"/>
          <w:szCs w:val="20"/>
          <w:rtl w:val="0"/>
        </w:rPr>
        <w:t xml:space="preserve"> Kang et al. (2009). The Effect of Increasing Control-to-case Ratio on Statistical</w:t>
      </w:r>
    </w:p>
    <w:p w:rsidR="00000000" w:rsidDel="00000000" w:rsidP="00000000" w:rsidRDefault="00000000" w:rsidRPr="00000000" w14:paraId="0000037F">
      <w:pPr>
        <w:spacing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Power in a Simulated Case-control SNP Association Study. </w:t>
      </w:r>
      <w:r w:rsidDel="00000000" w:rsidR="00000000" w:rsidRPr="00000000">
        <w:rPr>
          <w:rFonts w:ascii="Tahoma" w:cs="Tahoma" w:eastAsia="Tahoma" w:hAnsi="Tahoma"/>
          <w:i w:val="1"/>
          <w:iCs w:val="1"/>
          <w:sz w:val="20"/>
          <w:szCs w:val="20"/>
          <w:rtl w:val="0"/>
        </w:rPr>
        <w:t xml:space="preserve">Genomics &amp; Informatics</w:t>
      </w:r>
      <w:r w:rsidDel="00000000" w:rsidR="00000000" w:rsidRPr="00000000">
        <w:rPr>
          <w:rFonts w:ascii="Tahoma" w:cs="Tahoma" w:eastAsia="Tahoma" w:hAnsi="Tahoma"/>
          <w:sz w:val="20"/>
          <w:szCs w:val="20"/>
          <w:rtl w:val="0"/>
        </w:rPr>
        <w:t xml:space="preserve"> Vol. 7(3) 148-151, September 2009</w:t>
      </w:r>
    </w:p>
  </w:footnote>
  <w:footnote w:id="1">
    <w:p w:rsidR="00000000" w:rsidDel="00000000" w:rsidP="00000000" w:rsidRDefault="00000000" w:rsidRPr="00000000" w14:paraId="00000380">
      <w:pPr>
        <w:spacing w:line="240" w:lineRule="auto"/>
        <w:rPr>
          <w:rFonts w:ascii="Tahoma" w:cs="Tahoma" w:eastAsia="Tahoma" w:hAnsi="Tahoma"/>
          <w:sz w:val="20"/>
          <w:szCs w:val="20"/>
        </w:rPr>
      </w:pPr>
      <w:r w:rsidDel="00000000" w:rsidR="00000000" w:rsidRPr="00000000">
        <w:rPr>
          <w:rStyle w:val="FootnoteReference"/>
          <w:vertAlign w:val="superscript"/>
        </w:rPr>
        <w:footnoteRef/>
      </w:r>
      <w:r w:rsidDel="00000000" w:rsidR="00000000" w:rsidRPr="00000000">
        <w:rPr>
          <w:rFonts w:ascii="Tahoma" w:cs="Tahoma" w:eastAsia="Tahoma" w:hAnsi="Tahoma"/>
          <w:sz w:val="20"/>
          <w:szCs w:val="20"/>
          <w:rtl w:val="0"/>
        </w:rPr>
        <w:t xml:space="preserve"> https://www.cnil.fr/sites/default/files/atoms/files/guide_pratique_circuits_nir_recherche_en_sante.pdf</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8">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rPr>
    </w:pPr>
    <w:r w:rsidDel="00000000" w:rsidR="00000000" w:rsidRPr="00000000">
      <w:rPr/>
      <w:drawing>
        <wp:anchor allowOverlap="1" behindDoc="0" distB="0" distT="0" distL="0" distR="0" hidden="0" layoutInCell="1" locked="0" relativeHeight="0" simplePos="0">
          <wp:simplePos x="0" y="0"/>
          <wp:positionH relativeFrom="page">
            <wp:posOffset>6664650</wp:posOffset>
          </wp:positionH>
          <wp:positionV relativeFrom="page">
            <wp:posOffset>38100</wp:posOffset>
          </wp:positionV>
          <wp:extent cx="972329" cy="891302"/>
          <wp:effectExtent b="0" l="0" r="0" t="0"/>
          <wp:wrapSquare wrapText="bothSides" distB="0" distT="0" distL="0" distR="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21</wp:posOffset>
          </wp:positionH>
          <wp:positionV relativeFrom="paragraph">
            <wp:posOffset>-190483</wp:posOffset>
          </wp:positionV>
          <wp:extent cx="2071688" cy="439449"/>
          <wp:effectExtent b="0" l="0" r="0" t="0"/>
          <wp:wrapSquare wrapText="bothSides" distB="114300" distT="114300" distL="114300" distR="114300"/>
          <wp:docPr id="3"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2071688" cy="439449"/>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79">
    <w:pPr>
      <w:spacing w:line="259" w:lineRule="auto"/>
      <w:rPr/>
    </w:pPr>
    <w:r w:rsidDel="00000000" w:rsidR="00000000" w:rsidRPr="00000000">
      <w:rPr/>
      <w:drawing>
        <wp:anchor allowOverlap="1" behindDoc="0" distB="0" distT="0" distL="0" distR="0" hidden="0" layoutInCell="1" locked="0" relativeHeight="0" simplePos="0">
          <wp:simplePos x="0" y="0"/>
          <wp:positionH relativeFrom="page">
            <wp:posOffset>6674175</wp:posOffset>
          </wp:positionH>
          <wp:positionV relativeFrom="page">
            <wp:posOffset>28575</wp:posOffset>
          </wp:positionV>
          <wp:extent cx="972329" cy="891302"/>
          <wp:effectExtent b="0" l="0" r="0" t="0"/>
          <wp:wrapSquare wrapText="bothSides" distB="0" distT="0" distL="0" distR="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-333374</wp:posOffset>
          </wp:positionH>
          <wp:positionV relativeFrom="paragraph">
            <wp:posOffset>-285749</wp:posOffset>
          </wp:positionV>
          <wp:extent cx="1609725" cy="638175"/>
          <wp:effectExtent b="0" l="0" r="0" t="0"/>
          <wp:wrapSquare wrapText="bothSides" distB="0" distT="0" distL="114300" distR="114300"/>
          <wp:docPr id="1" name="image3.png"/>
          <a:graphic>
            <a:graphicData uri="http://schemas.openxmlformats.org/drawingml/2006/picture">
              <pic:pic>
                <pic:nvPicPr>
                  <pic:cNvPr id="0" name="image3.png"/>
                  <pic:cNvPicPr preferRelativeResize="0"/>
                </pic:nvPicPr>
                <pic:blipFill>
                  <a:blip r:embed="rId2"/>
                  <a:srcRect b="29394" l="0" r="0" t="24586"/>
                  <a:stretch>
                    <a:fillRect/>
                  </a:stretch>
                </pic:blipFill>
                <pic:spPr>
                  <a:xfrm>
                    <a:off x="0" y="0"/>
                    <a:ext cx="1609725" cy="63817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3."/>
      <w:lvlJc w:val="right"/>
      <w:pPr>
        <w:ind w:left="2160" w:hanging="360"/>
      </w:pPr>
      <w:rPr>
        <w:u w:val="none"/>
      </w:rPr>
    </w:lvl>
    <w:lvl w:ilvl="1">
      <w:start w:val="1"/>
      <w:numFmt w:val="decimal"/>
      <w:lvlText w:val="%1.%2."/>
      <w:lvlJc w:val="right"/>
      <w:pPr>
        <w:ind w:left="2880" w:hanging="360"/>
      </w:pPr>
      <w:rPr>
        <w:u w:val="none"/>
      </w:rPr>
    </w:lvl>
    <w:lvl w:ilvl="2">
      <w:start w:val="1"/>
      <w:numFmt w:val="decimal"/>
      <w:lvlText w:val="%1.%2.%3."/>
      <w:lvlJc w:val="right"/>
      <w:pPr>
        <w:ind w:left="3600" w:hanging="360"/>
      </w:pPr>
      <w:rPr>
        <w:u w:val="none"/>
      </w:rPr>
    </w:lvl>
    <w:lvl w:ilvl="3">
      <w:start w:val="1"/>
      <w:numFmt w:val="decimal"/>
      <w:lvlText w:val="%1.%2.%3.%4."/>
      <w:lvlJc w:val="right"/>
      <w:pPr>
        <w:ind w:left="4320" w:hanging="360"/>
      </w:pPr>
      <w:rPr>
        <w:u w:val="none"/>
      </w:rPr>
    </w:lvl>
    <w:lvl w:ilvl="4">
      <w:start w:val="1"/>
      <w:numFmt w:val="decimal"/>
      <w:lvlText w:val="%1.%2.%3.%4.%5."/>
      <w:lvlJc w:val="right"/>
      <w:pPr>
        <w:ind w:left="5040" w:hanging="360"/>
      </w:pPr>
      <w:rPr>
        <w:u w:val="none"/>
      </w:rPr>
    </w:lvl>
    <w:lvl w:ilvl="5">
      <w:start w:val="1"/>
      <w:numFmt w:val="decimal"/>
      <w:lvlText w:val="%1.%2.%3.%4.%5.%6."/>
      <w:lvlJc w:val="right"/>
      <w:pPr>
        <w:ind w:left="5760" w:hanging="360"/>
      </w:pPr>
      <w:rPr>
        <w:u w:val="none"/>
      </w:rPr>
    </w:lvl>
    <w:lvl w:ilvl="6">
      <w:start w:val="1"/>
      <w:numFmt w:val="decimal"/>
      <w:lvlText w:val="%1.%2.%3.%4.%5.%6.%7."/>
      <w:lvlJc w:val="right"/>
      <w:pPr>
        <w:ind w:left="6480" w:hanging="360"/>
      </w:pPr>
      <w:rPr>
        <w:u w:val="none"/>
      </w:rPr>
    </w:lvl>
    <w:lvl w:ilvl="7">
      <w:start w:val="1"/>
      <w:numFmt w:val="decimal"/>
      <w:lvlText w:val="%1.%2.%3.%4.%5.%6.%7.%8."/>
      <w:lvlJc w:val="right"/>
      <w:pPr>
        <w:ind w:left="7200" w:hanging="360"/>
      </w:pPr>
      <w:rPr>
        <w:u w:val="none"/>
      </w:rPr>
    </w:lvl>
    <w:lvl w:ilvl="8">
      <w:start w:val="1"/>
      <w:numFmt w:val="decimal"/>
      <w:lvlText w:val="%1.%2.%3.%4.%5.%6.%7.%8.%9."/>
      <w:lvlJc w:val="right"/>
      <w:pPr>
        <w:ind w:left="792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2"/>
      <w:numFmt w:val="decimal"/>
      <w:lvlText w:val="%1.2.2"/>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5.%1.2."/>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4."/>
      <w:lvlJc w:val="right"/>
      <w:pPr>
        <w:ind w:left="2160" w:hanging="360"/>
      </w:pPr>
      <w:rPr>
        <w:u w:val="none"/>
      </w:rPr>
    </w:lvl>
    <w:lvl w:ilvl="1">
      <w:start w:val="1"/>
      <w:numFmt w:val="decimal"/>
      <w:lvlText w:val="%1.%2."/>
      <w:lvlJc w:val="right"/>
      <w:pPr>
        <w:ind w:left="2880" w:hanging="360"/>
      </w:pPr>
      <w:rPr>
        <w:u w:val="none"/>
      </w:rPr>
    </w:lvl>
    <w:lvl w:ilvl="2">
      <w:start w:val="1"/>
      <w:numFmt w:val="decimal"/>
      <w:lvlText w:val="%1.%2.%3."/>
      <w:lvlJc w:val="right"/>
      <w:pPr>
        <w:ind w:left="3600" w:hanging="360"/>
      </w:pPr>
      <w:rPr>
        <w:u w:val="none"/>
      </w:rPr>
    </w:lvl>
    <w:lvl w:ilvl="3">
      <w:start w:val="1"/>
      <w:numFmt w:val="decimal"/>
      <w:lvlText w:val="%1.%2.%3.%4."/>
      <w:lvlJc w:val="right"/>
      <w:pPr>
        <w:ind w:left="4320" w:hanging="360"/>
      </w:pPr>
      <w:rPr>
        <w:u w:val="none"/>
      </w:rPr>
    </w:lvl>
    <w:lvl w:ilvl="4">
      <w:start w:val="1"/>
      <w:numFmt w:val="decimal"/>
      <w:lvlText w:val="%1.%2.%3.%4.%5."/>
      <w:lvlJc w:val="right"/>
      <w:pPr>
        <w:ind w:left="5040" w:hanging="360"/>
      </w:pPr>
      <w:rPr>
        <w:u w:val="none"/>
      </w:rPr>
    </w:lvl>
    <w:lvl w:ilvl="5">
      <w:start w:val="1"/>
      <w:numFmt w:val="decimal"/>
      <w:lvlText w:val="%1.%2.%3.%4.%5.%6."/>
      <w:lvlJc w:val="right"/>
      <w:pPr>
        <w:ind w:left="5760" w:hanging="360"/>
      </w:pPr>
      <w:rPr>
        <w:u w:val="none"/>
      </w:rPr>
    </w:lvl>
    <w:lvl w:ilvl="6">
      <w:start w:val="1"/>
      <w:numFmt w:val="decimal"/>
      <w:lvlText w:val="%1.%2.%3.%4.%5.%6.%7."/>
      <w:lvlJc w:val="right"/>
      <w:pPr>
        <w:ind w:left="6480" w:hanging="360"/>
      </w:pPr>
      <w:rPr>
        <w:u w:val="none"/>
      </w:rPr>
    </w:lvl>
    <w:lvl w:ilvl="7">
      <w:start w:val="1"/>
      <w:numFmt w:val="decimal"/>
      <w:lvlText w:val="%1.%2.%3.%4.%5.%6.%7.%8."/>
      <w:lvlJc w:val="right"/>
      <w:pPr>
        <w:ind w:left="7200" w:hanging="360"/>
      </w:pPr>
      <w:rPr>
        <w:u w:val="none"/>
      </w:rPr>
    </w:lvl>
    <w:lvl w:ilvl="8">
      <w:start w:val="1"/>
      <w:numFmt w:val="decimal"/>
      <w:lvlText w:val="%1.%2.%3.%4.%5.%6.%7.%8.%9."/>
      <w:lvlJc w:val="right"/>
      <w:pPr>
        <w:ind w:left="792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5.1.%1.3."/>
      <w:lvlJc w:val="left"/>
      <w:pPr>
        <w:ind w:left="2160" w:hanging="360"/>
      </w:pPr>
      <w:rPr>
        <w:sz w:val="22"/>
        <w:szCs w:val="22"/>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61">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00" w:line="240" w:lineRule="auto"/>
      <w:ind w:left="720" w:hanging="360"/>
      <w:jc w:val="both"/>
    </w:pPr>
    <w:rPr>
      <w:rFonts w:ascii="Tahoma" w:cs="Tahoma" w:eastAsia="Tahoma" w:hAnsi="Tahoma"/>
      <w:b w:val="1"/>
      <w:bCs w:val="1"/>
      <w:color w:val="036287"/>
      <w:sz w:val="30"/>
      <w:szCs w:val="30"/>
    </w:rPr>
  </w:style>
  <w:style w:type="paragraph" w:styleId="Heading2">
    <w:name w:val="heading 2"/>
    <w:basedOn w:val="Normal"/>
    <w:next w:val="Normal"/>
    <w:pPr>
      <w:keepNext w:val="1"/>
      <w:keepLines w:val="1"/>
    </w:pPr>
    <w:rPr>
      <w:rFonts w:ascii="Tahoma" w:cs="Tahoma" w:eastAsia="Tahoma" w:hAnsi="Tahoma"/>
      <w:b w:val="1"/>
      <w:bCs w:val="1"/>
      <w:color w:val="036287"/>
      <w:sz w:val="26"/>
      <w:szCs w:val="26"/>
    </w:rPr>
  </w:style>
  <w:style w:type="paragraph" w:styleId="Heading3">
    <w:name w:val="heading 3"/>
    <w:basedOn w:val="Normal"/>
    <w:next w:val="Normal"/>
    <w:pPr>
      <w:keepNext w:val="1"/>
      <w:keepLines w:val="1"/>
      <w:ind w:left="2160" w:hanging="360"/>
    </w:pPr>
    <w:rPr>
      <w:rFonts w:ascii="Tahoma" w:cs="Tahoma" w:eastAsia="Tahoma" w:hAnsi="Tahoma"/>
      <w:color w:val="036287"/>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line="240" w:lineRule="auto"/>
      <w:jc w:val="center"/>
    </w:pPr>
    <w:rPr>
      <w:rFonts w:ascii="Tahoma" w:cs="Tahoma" w:eastAsia="Tahoma" w:hAnsi="Tahoma"/>
      <w:b w:val="1"/>
      <w:bCs w:val="1"/>
      <w:color w:val="036287"/>
      <w:sz w:val="36"/>
      <w:szCs w:val="36"/>
    </w:rPr>
  </w:style>
  <w:style w:type="paragraph" w:styleId="Subtitle">
    <w:name w:val="Subtitle"/>
    <w:basedOn w:val="Normal"/>
    <w:next w:val="Normal"/>
    <w:pPr>
      <w:keepNext w:val="1"/>
      <w:keepLines w:val="1"/>
      <w:spacing w:line="240" w:lineRule="auto"/>
      <w:jc w:val="center"/>
    </w:pPr>
    <w:rPr>
      <w:rFonts w:ascii="Tahoma" w:cs="Tahoma" w:eastAsia="Tahoma" w:hAnsi="Tahoma"/>
      <w:b w:val="1"/>
      <w:bCs w:val="1"/>
      <w:color w:val="036287"/>
      <w:sz w:val="30"/>
      <w:szCs w:val="30"/>
    </w:rPr>
  </w:style>
  <w:style w:type="table" w:styleId="Table1">
    <w:basedOn w:val="TableNormal"/>
    <w:tblPr>
      <w:tblStyleRowBandSize w:val="1"/>
      <w:tblStyleColBandSize w:val="1"/>
    </w:tblPr>
  </w:style>
  <w:style w:type="table" w:styleId="Table2">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 w:type="table" w:styleId="Table3">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 w:type="table" w:styleId="Table4">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 w:type="table" w:styleId="Table5">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 w:type="table" w:styleId="Table6">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 w:type="table" w:styleId="Table7">
    <w:basedOn w:val="TableNormal"/>
    <w:pPr>
      <w:spacing w:line="240" w:lineRule="auto"/>
      <w:jc w:val="left"/>
    </w:pPr>
    <w:rPr>
      <w:sz w:val="22"/>
      <w:szCs w:val="22"/>
    </w:rPr>
    <w:tblPr>
      <w:tblStyleRowBandSize w:val="1"/>
      <w:tblStyleColBandSize w:val="1"/>
      <w:tblCellMar>
        <w:top w:w="15.0" w:type="dxa"/>
        <w:left w:w="108.0" w:type="dxa"/>
        <w:bottom w:w="15.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safe.ameli.fr/" TargetMode="External"/><Relationship Id="rId22" Type="http://schemas.openxmlformats.org/officeDocument/2006/relationships/hyperlink" Target="https://www.cnil.fr/fr/reglement-europeen-protection-donnees/chapitre3#Article13" TargetMode="External"/><Relationship Id="rId21" Type="http://schemas.openxmlformats.org/officeDocument/2006/relationships/hyperlink" Target="https://www.cnil.fr/fr/reglement-europeen-protection-donnees/chapitre3#Article14" TargetMode="External"/><Relationship Id="rId24" Type="http://schemas.openxmlformats.org/officeDocument/2006/relationships/hyperlink" Target="https://www.cnil.fr/fr/reglement-europeen-protection-donnees/chapitre3#Article17" TargetMode="External"/><Relationship Id="rId23" Type="http://schemas.openxmlformats.org/officeDocument/2006/relationships/hyperlink" Target="https://www.cnil.fr/fr/reglement-europeen-protection-donnees/chapitre3#Article1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cnil.fr/fr/reglement-europeen-protection-donnees/chapitre4#Article30" TargetMode="External"/><Relationship Id="rId25" Type="http://schemas.openxmlformats.org/officeDocument/2006/relationships/hyperlink" Target="https://www.cnil.fr/fr/reglement-europeen-protection-donnees/chapitre3#Article18"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legifrance.gouv.fr/loda/article_lc/LEGIARTI000038888793" TargetMode="External"/><Relationship Id="rId8" Type="http://schemas.openxmlformats.org/officeDocument/2006/relationships/hyperlink" Target="https://esante.gouv.fr/labels-certifications/hds/liste-des-herbergeurs-certifies" TargetMode="External"/><Relationship Id="rId11" Type="http://schemas.openxmlformats.org/officeDocument/2006/relationships/hyperlink" Target="https://www.legifrance.gouv.fr/affichCodeArticle.do?cidTexte=LEGITEXT000006072665&amp;idArticle=LEGIARTI000006685816&amp;dateTexte=&amp;categorieLien=cid" TargetMode="External"/><Relationship Id="rId10" Type="http://schemas.openxmlformats.org/officeDocument/2006/relationships/hyperlink" Target="https://www.cnil.fr/fr/reglement-europeen-protection-donnees/chapitre4#Article28" TargetMode="External"/><Relationship Id="rId13" Type="http://schemas.openxmlformats.org/officeDocument/2006/relationships/hyperlink" Target="https://www.cnil.fr/fr/reglement-europeen-protection-donnees/chapitre2#Article9" TargetMode="External"/><Relationship Id="rId12" Type="http://schemas.openxmlformats.org/officeDocument/2006/relationships/hyperlink" Target="https://www.cnil.fr/fr/reglement-europeen-protection-donnees/chapitre2#Article6" TargetMode="External"/><Relationship Id="rId15" Type="http://schemas.openxmlformats.org/officeDocument/2006/relationships/hyperlink" Target="https://www.legifrance.gouv.fr/loda/id/JORFTEXT000034265125/" TargetMode="External"/><Relationship Id="rId14" Type="http://schemas.openxmlformats.org/officeDocument/2006/relationships/hyperlink" Target="https://www.legifrance.gouv.fr/codes/article_lc/LEGIARTI000046126182#:~:text=Elle%20prend%20ou%20demande%20aux,%C3%A0%20pr%C3%A9server%20la%20sant%C3%A9%20humaine." TargetMode="External"/><Relationship Id="rId17" Type="http://schemas.openxmlformats.org/officeDocument/2006/relationships/header" Target="header1.xml"/><Relationship Id="rId16" Type="http://schemas.openxmlformats.org/officeDocument/2006/relationships/header" Target="header2.xml"/><Relationship Id="rId19" Type="http://schemas.openxmlformats.org/officeDocument/2006/relationships/footer" Target="footer1.xml"/><Relationship Id="rId1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